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F267AA" w:rsidRDefault="00F267AA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4721DB">
            <w:pPr>
              <w:tabs>
                <w:tab w:val="left" w:pos="1373"/>
              </w:tabs>
              <w:spacing w:before="200" w:after="200"/>
            </w:pPr>
            <w:r>
              <w:t xml:space="preserve">Naturwissenschaftliche Untersuchungen durchführen - </w:t>
            </w:r>
            <w:r w:rsidR="004721DB">
              <w:t>Hyp</w:t>
            </w:r>
            <w:r w:rsidR="004721DB">
              <w:t>o</w:t>
            </w:r>
            <w:r w:rsidR="004721DB">
              <w:t>thesenbildung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8773E" w:rsidP="00BE7704">
            <w:pPr>
              <w:tabs>
                <w:tab w:val="left" w:pos="1190"/>
              </w:tabs>
              <w:spacing w:before="200" w:after="200"/>
            </w:pPr>
            <w:r>
              <w:t>D/E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8773E" w:rsidRPr="0018773E" w:rsidRDefault="00973929" w:rsidP="00F267AA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  <w:r>
              <w:t xml:space="preserve">Die Schülerinnen und Schüler können </w:t>
            </w:r>
            <w:r w:rsidR="004721DB">
              <w:t>Hypothesen aufstellen, die auf naturwissenschaftlichen Fragestellungen basieren.</w:t>
            </w:r>
            <w:r w:rsidR="0018773E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5D3448" w:rsidP="00321743">
            <w:pPr>
              <w:tabs>
                <w:tab w:val="left" w:pos="1190"/>
              </w:tabs>
              <w:spacing w:before="200" w:after="200"/>
            </w:pPr>
            <w:r>
              <w:t xml:space="preserve">TF 5: </w:t>
            </w:r>
            <w:r w:rsidR="00973929">
              <w:t>Salze – Gegensätze ziehen sich an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8773E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8773E" w:rsidRPr="00F267AA" w:rsidRDefault="0018773E" w:rsidP="00321743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  <w:r>
              <w:t xml:space="preserve">Die Schülerinnen und Schüler können </w:t>
            </w:r>
            <w:r w:rsidRPr="007D509D">
              <w:t>Vermutungen äußern und begründen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9739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18773E" w:rsidP="00321743">
            <w:pPr>
              <w:spacing w:before="200" w:after="200"/>
            </w:pPr>
            <w:r>
              <w:t>Kochsalz, Hypothesenbildung, kausaler Zusammenhang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721DB" w:rsidRDefault="004721DB" w:rsidP="004721DB">
      <w:pPr>
        <w:spacing w:after="200"/>
        <w:jc w:val="both"/>
        <w:rPr>
          <w:rFonts w:cs="Arial"/>
          <w:b/>
        </w:rPr>
      </w:pPr>
    </w:p>
    <w:p w:rsidR="004721DB" w:rsidRPr="004721DB" w:rsidRDefault="00D441E4" w:rsidP="004721DB">
      <w:pPr>
        <w:spacing w:after="200"/>
        <w:jc w:val="both"/>
        <w:rPr>
          <w:rFonts w:cs="Arial"/>
          <w:b/>
        </w:rPr>
      </w:pPr>
      <w:r>
        <w:rPr>
          <w:rFonts w:cs="Arial"/>
          <w:b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262255</wp:posOffset>
            </wp:positionV>
            <wp:extent cx="2146935" cy="2378710"/>
            <wp:effectExtent l="19050" t="0" r="5715" b="0"/>
            <wp:wrapTight wrapText="bothSides">
              <wp:wrapPolygon edited="0">
                <wp:start x="-192" y="0"/>
                <wp:lineTo x="-192" y="21450"/>
                <wp:lineTo x="21657" y="21450"/>
                <wp:lineTo x="21657" y="0"/>
                <wp:lineTo x="-192" y="0"/>
              </wp:wrapPolygon>
            </wp:wrapTight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1DB" w:rsidRPr="004721DB">
        <w:rPr>
          <w:rFonts w:cs="Arial"/>
          <w:b/>
        </w:rPr>
        <w:t>Die chemische Küche – Löslichkeit eines Salzes</w:t>
      </w:r>
    </w:p>
    <w:tbl>
      <w:tblPr>
        <w:tblpPr w:leftFromText="141" w:rightFromText="141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721DB" w:rsidRPr="00854FEC" w:rsidTr="00854FEC">
        <w:tc>
          <w:tcPr>
            <w:tcW w:w="9464" w:type="dxa"/>
            <w:shd w:val="clear" w:color="auto" w:fill="auto"/>
          </w:tcPr>
          <w:tbl>
            <w:tblPr>
              <w:tblpPr w:leftFromText="141" w:rightFromText="141" w:vertAnchor="text" w:horzAnchor="margin" w:tblpY="120"/>
              <w:tblW w:w="5323" w:type="dxa"/>
              <w:tblLook w:val="04A0" w:firstRow="1" w:lastRow="0" w:firstColumn="1" w:lastColumn="0" w:noHBand="0" w:noVBand="1"/>
            </w:tblPr>
            <w:tblGrid>
              <w:gridCol w:w="5323"/>
            </w:tblGrid>
            <w:tr w:rsidR="004721DB" w:rsidRPr="00854FEC" w:rsidTr="00854FEC">
              <w:trPr>
                <w:trHeight w:val="3866"/>
              </w:trPr>
              <w:tc>
                <w:tcPr>
                  <w:tcW w:w="5323" w:type="dxa"/>
                  <w:shd w:val="clear" w:color="auto" w:fill="auto"/>
                </w:tcPr>
                <w:p w:rsidR="004721DB" w:rsidRPr="00854FEC" w:rsidRDefault="004721DB" w:rsidP="00854FEC">
                  <w:pPr>
                    <w:spacing w:line="240" w:lineRule="auto"/>
                    <w:jc w:val="both"/>
                    <w:rPr>
                      <w:rFonts w:cs="Arial"/>
                      <w:b/>
                    </w:rPr>
                  </w:pPr>
                </w:p>
                <w:p w:rsidR="004721DB" w:rsidRPr="00854FEC" w:rsidRDefault="004721DB" w:rsidP="00854FEC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  <w:r w:rsidRPr="00854FEC">
                    <w:rPr>
                      <w:rFonts w:cs="Arial"/>
                    </w:rPr>
                    <w:t>Als Anton heute von der Schule nach Hause kommt, muss er seiner M</w:t>
                  </w:r>
                  <w:r w:rsidR="005D3448">
                    <w:rPr>
                      <w:rFonts w:cs="Arial"/>
                    </w:rPr>
                    <w:t>utter</w:t>
                  </w:r>
                  <w:r w:rsidRPr="00854FEC">
                    <w:rPr>
                      <w:rFonts w:cs="Arial"/>
                    </w:rPr>
                    <w:t xml:space="preserve"> beim Zubereiten des Mitt</w:t>
                  </w:r>
                  <w:r w:rsidRPr="00854FEC">
                    <w:rPr>
                      <w:rFonts w:cs="Arial"/>
                    </w:rPr>
                    <w:t>a</w:t>
                  </w:r>
                  <w:r w:rsidRPr="00854FEC">
                    <w:rPr>
                      <w:rFonts w:cs="Arial"/>
                    </w:rPr>
                    <w:t xml:space="preserve">gessens helfen. Es gibt Nudeln mit Tomatensoße. </w:t>
                  </w:r>
                </w:p>
                <w:p w:rsidR="004721DB" w:rsidRPr="00854FEC" w:rsidRDefault="004721DB" w:rsidP="00854FEC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</w:p>
                <w:p w:rsidR="004721DB" w:rsidRPr="00854FEC" w:rsidRDefault="004721DB" w:rsidP="00D441E4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  <w:r w:rsidRPr="00854FEC">
                    <w:rPr>
                      <w:rFonts w:cs="Arial"/>
                    </w:rPr>
                    <w:t>Seine M</w:t>
                  </w:r>
                  <w:r w:rsidR="005D3448">
                    <w:rPr>
                      <w:rFonts w:cs="Arial"/>
                    </w:rPr>
                    <w:t>utter</w:t>
                  </w:r>
                  <w:r w:rsidRPr="00854FEC">
                    <w:rPr>
                      <w:rFonts w:cs="Arial"/>
                    </w:rPr>
                    <w:t xml:space="preserve"> bittet ihn</w:t>
                  </w:r>
                  <w:r w:rsidR="005D3448">
                    <w:rPr>
                      <w:rFonts w:cs="Arial"/>
                    </w:rPr>
                    <w:t>,</w:t>
                  </w:r>
                  <w:r w:rsidRPr="00854FEC">
                    <w:rPr>
                      <w:rFonts w:cs="Arial"/>
                    </w:rPr>
                    <w:t xml:space="preserve"> das Salz in den Topf zu g</w:t>
                  </w:r>
                  <w:r w:rsidRPr="00854FEC">
                    <w:rPr>
                      <w:rFonts w:cs="Arial"/>
                    </w:rPr>
                    <w:t>e</w:t>
                  </w:r>
                  <w:r w:rsidRPr="00854FEC">
                    <w:rPr>
                      <w:rFonts w:cs="Arial"/>
                    </w:rPr>
                    <w:t xml:space="preserve">ben. Anton läuft daraufhin zum Schrank, holt das Salz heraus und gibt etwas davon </w:t>
                  </w:r>
                  <w:r w:rsidR="00D441E4">
                    <w:rPr>
                      <w:rFonts w:cs="Arial"/>
                    </w:rPr>
                    <w:t>in das Wasser</w:t>
                  </w:r>
                  <w:r w:rsidRPr="00854FEC">
                    <w:rPr>
                      <w:rFonts w:cs="Arial"/>
                    </w:rPr>
                    <w:t>. Das Salz liegt nun am Boden des Topfes. Anschli</w:t>
                  </w:r>
                  <w:r w:rsidRPr="00854FEC">
                    <w:rPr>
                      <w:rFonts w:cs="Arial"/>
                    </w:rPr>
                    <w:t>e</w:t>
                  </w:r>
                  <w:r w:rsidRPr="00854FEC">
                    <w:rPr>
                      <w:rFonts w:cs="Arial"/>
                    </w:rPr>
                    <w:t>ßend schaltet er den Herd ein und holt die Nudeln. Als er nach kurzer Zeit zurückkommt und in den Topf schaut</w:t>
                  </w:r>
                  <w:r w:rsidR="005D3448">
                    <w:rPr>
                      <w:rFonts w:cs="Arial"/>
                    </w:rPr>
                    <w:t>,</w:t>
                  </w:r>
                  <w:r w:rsidRPr="00854FEC">
                    <w:rPr>
                      <w:rFonts w:cs="Arial"/>
                    </w:rPr>
                    <w:t xml:space="preserve"> ist </w:t>
                  </w:r>
                  <w:r w:rsidR="00D441E4" w:rsidRPr="00854FEC">
                    <w:rPr>
                      <w:rFonts w:cs="Arial"/>
                    </w:rPr>
                    <w:t xml:space="preserve">das Salz </w:t>
                  </w:r>
                  <w:r w:rsidRPr="00854FEC">
                    <w:rPr>
                      <w:rFonts w:cs="Arial"/>
                    </w:rPr>
                    <w:t>im heißen Wasser „ve</w:t>
                  </w:r>
                  <w:r w:rsidRPr="00854FEC">
                    <w:rPr>
                      <w:rFonts w:cs="Arial"/>
                    </w:rPr>
                    <w:t>r</w:t>
                  </w:r>
                  <w:r w:rsidRPr="00854FEC">
                    <w:rPr>
                      <w:rFonts w:cs="Arial"/>
                    </w:rPr>
                    <w:t>schwunden“.</w:t>
                  </w:r>
                </w:p>
              </w:tc>
            </w:tr>
          </w:tbl>
          <w:p w:rsidR="004721DB" w:rsidRPr="00854FEC" w:rsidRDefault="004721DB" w:rsidP="00854FEC">
            <w:pPr>
              <w:spacing w:line="240" w:lineRule="auto"/>
              <w:rPr>
                <w:rFonts w:cs="Arial"/>
              </w:rPr>
            </w:pPr>
          </w:p>
        </w:tc>
      </w:tr>
    </w:tbl>
    <w:p w:rsidR="004721DB" w:rsidRPr="004721DB" w:rsidRDefault="004721DB" w:rsidP="004721DB">
      <w:pPr>
        <w:spacing w:after="200"/>
        <w:jc w:val="both"/>
        <w:rPr>
          <w:rFonts w:cs="Arial"/>
        </w:rPr>
      </w:pPr>
    </w:p>
    <w:p w:rsidR="0018773E" w:rsidRDefault="0018773E" w:rsidP="004721DB">
      <w:pPr>
        <w:spacing w:line="240" w:lineRule="auto"/>
        <w:ind w:left="360" w:firstLine="348"/>
        <w:jc w:val="both"/>
        <w:rPr>
          <w:rFonts w:cs="Arial"/>
        </w:rPr>
      </w:pPr>
    </w:p>
    <w:p w:rsidR="004721DB" w:rsidRPr="00647BD2" w:rsidRDefault="005D3448" w:rsidP="0018773E">
      <w:pPr>
        <w:spacing w:line="240" w:lineRule="auto"/>
        <w:jc w:val="both"/>
        <w:rPr>
          <w:rFonts w:cs="Arial"/>
          <w:b/>
        </w:rPr>
      </w:pPr>
      <w:r w:rsidRPr="00647BD2">
        <w:rPr>
          <w:rFonts w:cs="Arial"/>
          <w:b/>
        </w:rPr>
        <w:t>Aufgabe</w:t>
      </w:r>
      <w:r w:rsidR="004721DB" w:rsidRPr="00647BD2">
        <w:rPr>
          <w:rFonts w:cs="Arial"/>
          <w:b/>
        </w:rPr>
        <w:t>:</w:t>
      </w:r>
    </w:p>
    <w:p w:rsidR="004721DB" w:rsidRPr="004721DB" w:rsidRDefault="004721DB" w:rsidP="004721DB">
      <w:pPr>
        <w:jc w:val="both"/>
        <w:rPr>
          <w:rFonts w:cs="Arial"/>
          <w:sz w:val="16"/>
          <w:szCs w:val="16"/>
        </w:rPr>
      </w:pPr>
    </w:p>
    <w:p w:rsidR="004721DB" w:rsidRPr="004721DB" w:rsidRDefault="004721DB" w:rsidP="004721DB">
      <w:pPr>
        <w:spacing w:after="200"/>
        <w:jc w:val="both"/>
        <w:rPr>
          <w:rFonts w:cs="Arial"/>
        </w:rPr>
      </w:pPr>
      <w:r w:rsidRPr="004721DB">
        <w:rPr>
          <w:rFonts w:cs="Arial"/>
        </w:rPr>
        <w:t xml:space="preserve">Anton stellt sich daraufhin die Frage: „Inwiefern hängt die Löslichkeit </w:t>
      </w:r>
      <w:r w:rsidR="005D3448">
        <w:rPr>
          <w:rFonts w:cs="Arial"/>
        </w:rPr>
        <w:t>des Kochsalzes</w:t>
      </w:r>
      <w:r w:rsidRPr="004721DB">
        <w:rPr>
          <w:rFonts w:cs="Arial"/>
        </w:rPr>
        <w:t xml:space="preserve"> von der Tempera</w:t>
      </w:r>
      <w:r w:rsidR="005D3448">
        <w:rPr>
          <w:rFonts w:cs="Arial"/>
        </w:rPr>
        <w:t>tur ab?“</w:t>
      </w:r>
    </w:p>
    <w:p w:rsidR="004721DB" w:rsidRPr="004721DB" w:rsidRDefault="005D3448" w:rsidP="004721DB">
      <w:pPr>
        <w:spacing w:after="200"/>
        <w:jc w:val="both"/>
        <w:rPr>
          <w:rFonts w:cs="Arial"/>
        </w:rPr>
      </w:pPr>
      <w:r>
        <w:rPr>
          <w:rFonts w:cs="Arial"/>
          <w:b/>
        </w:rPr>
        <w:t xml:space="preserve">Formuliere </w:t>
      </w:r>
      <w:r>
        <w:rPr>
          <w:rFonts w:cs="Arial"/>
        </w:rPr>
        <w:t xml:space="preserve">eine </w:t>
      </w:r>
      <w:r w:rsidR="00D441E4">
        <w:rPr>
          <w:rFonts w:cs="Arial"/>
        </w:rPr>
        <w:t>Wenn-dann-</w:t>
      </w:r>
      <w:r>
        <w:rPr>
          <w:rFonts w:cs="Arial"/>
        </w:rPr>
        <w:t>Beziehung</w:t>
      </w:r>
      <w:r w:rsidR="004721DB" w:rsidRPr="004721DB">
        <w:rPr>
          <w:rFonts w:cs="Arial"/>
        </w:rPr>
        <w:t>.</w:t>
      </w:r>
    </w:p>
    <w:p w:rsidR="004721DB" w:rsidRDefault="004721DB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18773E" w:rsidRDefault="0018773E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18773E" w:rsidRDefault="0018773E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18773E" w:rsidRDefault="0018773E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5D3448" w:rsidRDefault="005D3448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5D3448" w:rsidRDefault="005D3448" w:rsidP="004721DB">
      <w:pPr>
        <w:tabs>
          <w:tab w:val="right" w:leader="underscore" w:pos="6379"/>
        </w:tabs>
        <w:spacing w:after="200" w:line="360" w:lineRule="auto"/>
        <w:rPr>
          <w:rFonts w:ascii="Comic Sans MS" w:hAnsi="Comic Sans MS"/>
        </w:rPr>
      </w:pPr>
    </w:p>
    <w:p w:rsidR="00D90E93" w:rsidRDefault="00D90E93" w:rsidP="004721DB">
      <w:pPr>
        <w:rPr>
          <w:noProof/>
          <w:lang w:eastAsia="de-DE"/>
        </w:rPr>
      </w:pPr>
    </w:p>
    <w:p w:rsidR="00D90E93" w:rsidRDefault="00D90E93" w:rsidP="004721DB">
      <w:pPr>
        <w:rPr>
          <w:noProof/>
          <w:lang w:eastAsia="de-DE"/>
        </w:rPr>
      </w:pPr>
    </w:p>
    <w:p w:rsidR="00D90E93" w:rsidRDefault="00D90E93" w:rsidP="004721DB">
      <w:pPr>
        <w:rPr>
          <w:noProof/>
          <w:lang w:eastAsia="de-DE"/>
        </w:rPr>
      </w:pPr>
    </w:p>
    <w:p w:rsidR="00D90E93" w:rsidRDefault="00D90E93" w:rsidP="004721DB">
      <w:pPr>
        <w:rPr>
          <w:noProof/>
          <w:lang w:eastAsia="de-DE"/>
        </w:rPr>
      </w:pPr>
    </w:p>
    <w:p w:rsidR="00D90E93" w:rsidRDefault="00D90E93" w:rsidP="004721DB">
      <w:pPr>
        <w:rPr>
          <w:noProof/>
          <w:lang w:eastAsia="de-DE"/>
        </w:rPr>
      </w:pPr>
    </w:p>
    <w:p w:rsidR="00937B60" w:rsidRPr="004721DB" w:rsidRDefault="004B09C7" w:rsidP="004721DB"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1DB" w:rsidRPr="004721DB">
        <w:rPr>
          <w:noProof/>
          <w:lang w:eastAsia="de-DE"/>
        </w:rPr>
        <w:t xml:space="preserve"> </w:t>
      </w:r>
      <w:r w:rsidR="00BE31D2">
        <w:rPr>
          <w:noProof/>
          <w:lang w:eastAsia="de-DE"/>
        </w:rPr>
        <w:t>Sandra Benad/SenBJF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73929" w:rsidRDefault="00973929" w:rsidP="00973929">
      <w:pPr>
        <w:spacing w:line="240" w:lineRule="auto"/>
        <w:jc w:val="both"/>
        <w:rPr>
          <w:rFonts w:cs="Arial"/>
          <w:b/>
        </w:rPr>
      </w:pPr>
    </w:p>
    <w:p w:rsidR="004721DB" w:rsidRPr="004721DB" w:rsidRDefault="004721DB" w:rsidP="004721DB">
      <w:pPr>
        <w:spacing w:after="200"/>
        <w:jc w:val="both"/>
        <w:rPr>
          <w:rFonts w:cs="Arial"/>
        </w:rPr>
      </w:pPr>
      <w:r w:rsidRPr="004721DB">
        <w:rPr>
          <w:rFonts w:cs="Arial"/>
        </w:rPr>
        <w:t xml:space="preserve">Anton stellt sich daraufhin die Frage: „Inwiefern hängt die Löslichkeit eines </w:t>
      </w:r>
      <w:r w:rsidR="00D441E4">
        <w:rPr>
          <w:rFonts w:cs="Arial"/>
        </w:rPr>
        <w:t>Salzes von der Temperatur ab?“</w:t>
      </w:r>
    </w:p>
    <w:p w:rsidR="00D441E4" w:rsidRPr="004721DB" w:rsidRDefault="00D441E4" w:rsidP="00D441E4">
      <w:pPr>
        <w:spacing w:after="200"/>
        <w:jc w:val="both"/>
        <w:rPr>
          <w:rFonts w:cs="Arial"/>
        </w:rPr>
      </w:pPr>
      <w:r>
        <w:rPr>
          <w:rFonts w:cs="Arial"/>
          <w:b/>
        </w:rPr>
        <w:t xml:space="preserve">Formuliere </w:t>
      </w:r>
      <w:r>
        <w:rPr>
          <w:rFonts w:cs="Arial"/>
        </w:rPr>
        <w:t>eine Wenn-dann-Beziehung</w:t>
      </w:r>
      <w:r w:rsidRPr="004721DB">
        <w:rPr>
          <w:rFonts w:cs="Arial"/>
        </w:rPr>
        <w:t>.</w:t>
      </w:r>
    </w:p>
    <w:p w:rsidR="00647BD2" w:rsidRDefault="00647BD2" w:rsidP="00647BD2">
      <w:pPr>
        <w:spacing w:after="200"/>
        <w:jc w:val="both"/>
        <w:rPr>
          <w:rFonts w:cs="Arial"/>
        </w:rPr>
      </w:pPr>
    </w:p>
    <w:p w:rsidR="00647BD2" w:rsidRPr="00647BD2" w:rsidRDefault="005D3448" w:rsidP="00647BD2">
      <w:pPr>
        <w:spacing w:after="200"/>
        <w:jc w:val="both"/>
        <w:rPr>
          <w:rFonts w:cs="Arial"/>
          <w:b/>
        </w:rPr>
      </w:pPr>
      <w:r w:rsidRPr="00647BD2">
        <w:rPr>
          <w:rFonts w:cs="Arial"/>
          <w:b/>
        </w:rPr>
        <w:t>Mögliche Formulierungen</w:t>
      </w:r>
      <w:r w:rsidR="004721DB" w:rsidRPr="00647BD2">
        <w:rPr>
          <w:rFonts w:cs="Arial"/>
          <w:b/>
        </w:rPr>
        <w:t xml:space="preserve">: </w:t>
      </w:r>
    </w:p>
    <w:p w:rsidR="005D3448" w:rsidRPr="0018773E" w:rsidRDefault="004721DB" w:rsidP="0018773E">
      <w:pPr>
        <w:tabs>
          <w:tab w:val="right" w:leader="underscore" w:pos="6379"/>
        </w:tabs>
        <w:spacing w:line="360" w:lineRule="auto"/>
        <w:rPr>
          <w:rFonts w:cs="Arial"/>
        </w:rPr>
      </w:pPr>
      <w:r w:rsidRPr="0018773E">
        <w:rPr>
          <w:rFonts w:cs="Arial"/>
        </w:rPr>
        <w:t xml:space="preserve">  </w:t>
      </w:r>
      <w:r w:rsidR="006D1050" w:rsidRPr="0018773E">
        <w:rPr>
          <w:rFonts w:cs="Arial"/>
        </w:rPr>
        <w:t>1.</w:t>
      </w:r>
      <w:r w:rsidRPr="0018773E">
        <w:rPr>
          <w:rFonts w:cs="Arial"/>
        </w:rPr>
        <w:t xml:space="preserve"> </w:t>
      </w:r>
      <w:r w:rsidRPr="0018773E">
        <w:rPr>
          <w:rFonts w:cs="Arial"/>
        </w:rPr>
        <w:tab/>
      </w:r>
      <w:r w:rsidR="005D3448" w:rsidRPr="0018773E">
        <w:rPr>
          <w:rFonts w:cs="Arial"/>
        </w:rPr>
        <w:t xml:space="preserve">Wenn die Temperatur steigt, dann erhöht sich auch die </w:t>
      </w:r>
      <w:r w:rsidR="00D441E4">
        <w:rPr>
          <w:rFonts w:cs="Arial"/>
        </w:rPr>
        <w:t>Löslichkeit des Kochsalzes.</w:t>
      </w:r>
    </w:p>
    <w:p w:rsidR="005D3448" w:rsidRPr="0018773E" w:rsidRDefault="005D3448" w:rsidP="0018773E">
      <w:pPr>
        <w:tabs>
          <w:tab w:val="right" w:leader="underscore" w:pos="6379"/>
        </w:tabs>
        <w:spacing w:line="360" w:lineRule="auto"/>
        <w:rPr>
          <w:rFonts w:cs="Arial"/>
        </w:rPr>
      </w:pPr>
      <w:r w:rsidRPr="0018773E">
        <w:rPr>
          <w:rFonts w:cs="Arial"/>
        </w:rPr>
        <w:tab/>
        <w:t xml:space="preserve">      Wenn die Temperatur steigt, dann löst sich mehr Kochsalz im Wasser.</w:t>
      </w:r>
    </w:p>
    <w:p w:rsidR="005D3448" w:rsidRPr="0018773E" w:rsidRDefault="005D3448" w:rsidP="0018773E">
      <w:pPr>
        <w:tabs>
          <w:tab w:val="right" w:leader="underscore" w:pos="6379"/>
        </w:tabs>
        <w:spacing w:line="360" w:lineRule="auto"/>
        <w:rPr>
          <w:rFonts w:cs="Arial"/>
        </w:rPr>
      </w:pPr>
    </w:p>
    <w:p w:rsidR="005D3448" w:rsidRPr="0018773E" w:rsidRDefault="004721DB" w:rsidP="0018773E">
      <w:pPr>
        <w:tabs>
          <w:tab w:val="right" w:leader="underscore" w:pos="6379"/>
        </w:tabs>
        <w:spacing w:line="360" w:lineRule="auto"/>
        <w:rPr>
          <w:rFonts w:cs="Arial"/>
        </w:rPr>
      </w:pPr>
      <w:r w:rsidRPr="0018773E">
        <w:rPr>
          <w:rFonts w:cs="Arial"/>
        </w:rPr>
        <w:t xml:space="preserve">  </w:t>
      </w:r>
      <w:r w:rsidR="006D1050" w:rsidRPr="0018773E">
        <w:rPr>
          <w:rFonts w:cs="Arial"/>
        </w:rPr>
        <w:t>2.</w:t>
      </w:r>
      <w:r w:rsidRPr="0018773E">
        <w:rPr>
          <w:rFonts w:cs="Arial"/>
        </w:rPr>
        <w:t xml:space="preserve"> </w:t>
      </w:r>
      <w:r w:rsidR="005D3448" w:rsidRPr="0018773E">
        <w:rPr>
          <w:rFonts w:cs="Arial"/>
        </w:rPr>
        <w:t>Wenn die Temperatur steigt, dann nimmt die</w:t>
      </w:r>
      <w:r w:rsidR="00D441E4">
        <w:rPr>
          <w:rFonts w:cs="Arial"/>
        </w:rPr>
        <w:t xml:space="preserve"> Löslichkeit des Kochsalzes ab.</w:t>
      </w:r>
    </w:p>
    <w:p w:rsidR="004721DB" w:rsidRPr="0018773E" w:rsidRDefault="005D3448" w:rsidP="0018773E">
      <w:pPr>
        <w:tabs>
          <w:tab w:val="right" w:leader="underscore" w:pos="6379"/>
        </w:tabs>
        <w:spacing w:line="360" w:lineRule="auto"/>
        <w:rPr>
          <w:rFonts w:cs="Arial"/>
        </w:rPr>
      </w:pPr>
      <w:r w:rsidRPr="0018773E">
        <w:rPr>
          <w:rFonts w:cs="Arial"/>
        </w:rPr>
        <w:t xml:space="preserve">      Wenn die Temperatur steigt, dann löst sich weniger Kochsalz im Wasser. </w:t>
      </w:r>
    </w:p>
    <w:p w:rsidR="006D1050" w:rsidRPr="0018773E" w:rsidRDefault="006D1050" w:rsidP="0018773E">
      <w:pPr>
        <w:tabs>
          <w:tab w:val="right" w:leader="underscore" w:pos="6379"/>
        </w:tabs>
        <w:spacing w:line="360" w:lineRule="auto"/>
        <w:rPr>
          <w:rFonts w:cs="Arial"/>
        </w:rPr>
      </w:pPr>
    </w:p>
    <w:p w:rsidR="006D1050" w:rsidRPr="0018773E" w:rsidRDefault="006D1050" w:rsidP="0018773E">
      <w:pPr>
        <w:tabs>
          <w:tab w:val="right" w:leader="underscore" w:pos="6379"/>
        </w:tabs>
        <w:spacing w:line="360" w:lineRule="auto"/>
        <w:rPr>
          <w:rFonts w:cs="Arial"/>
        </w:rPr>
      </w:pPr>
      <w:r w:rsidRPr="0018773E">
        <w:rPr>
          <w:rFonts w:cs="Arial"/>
        </w:rPr>
        <w:t xml:space="preserve"> 3.  Auch wenn die Temperatur steigt, ändert sich die Löslichkeit nicht. </w:t>
      </w:r>
    </w:p>
    <w:p w:rsidR="006D1050" w:rsidRDefault="006D1050" w:rsidP="005D3448">
      <w:pPr>
        <w:tabs>
          <w:tab w:val="right" w:leader="underscore" w:pos="6379"/>
        </w:tabs>
        <w:spacing w:line="360" w:lineRule="auto"/>
        <w:rPr>
          <w:rFonts w:cs="Arial"/>
        </w:rPr>
      </w:pPr>
    </w:p>
    <w:p w:rsidR="006D1050" w:rsidRPr="006D1050" w:rsidRDefault="006D1050" w:rsidP="005D3448">
      <w:pPr>
        <w:tabs>
          <w:tab w:val="right" w:leader="underscore" w:pos="6379"/>
        </w:tabs>
        <w:spacing w:line="360" w:lineRule="auto"/>
        <w:rPr>
          <w:rFonts w:cs="Arial"/>
          <w:color w:val="FF0000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C16860" w:rsidRDefault="00C16860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Default="00D90E93" w:rsidP="00BF22FF">
      <w:pPr>
        <w:spacing w:before="60" w:after="60"/>
        <w:rPr>
          <w:b/>
        </w:rPr>
      </w:pPr>
    </w:p>
    <w:p w:rsidR="00D90E93" w:rsidRPr="008119C5" w:rsidRDefault="00D90E93" w:rsidP="00BF22FF">
      <w:pPr>
        <w:spacing w:before="60" w:after="60"/>
        <w:rPr>
          <w:b/>
        </w:rPr>
      </w:pPr>
    </w:p>
    <w:p w:rsidR="00B94BD8" w:rsidRDefault="00D90E93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31D2">
        <w:t>Sandra Benad/SenBJF</w:t>
      </w:r>
      <w:bookmarkStart w:id="0" w:name="_GoBack"/>
      <w:bookmarkEnd w:id="0"/>
    </w:p>
    <w:sectPr w:rsidR="00B94BD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14" w:rsidRDefault="006C3D14" w:rsidP="00837EC7">
      <w:pPr>
        <w:spacing w:line="240" w:lineRule="auto"/>
      </w:pPr>
      <w:r>
        <w:separator/>
      </w:r>
    </w:p>
  </w:endnote>
  <w:endnote w:type="continuationSeparator" w:id="0">
    <w:p w:rsidR="006C3D14" w:rsidRDefault="006C3D1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073ED3">
      <w:fldChar w:fldCharType="begin"/>
    </w:r>
    <w:r w:rsidR="00EA1A78">
      <w:instrText xml:space="preserve"> PAGE   \* MERGEFORMAT </w:instrText>
    </w:r>
    <w:r w:rsidR="00073ED3">
      <w:fldChar w:fldCharType="separate"/>
    </w:r>
    <w:r w:rsidR="00BE31D2">
      <w:rPr>
        <w:noProof/>
      </w:rPr>
      <w:t>1</w:t>
    </w:r>
    <w:r w:rsidR="00073E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073ED3">
      <w:fldChar w:fldCharType="begin"/>
    </w:r>
    <w:r w:rsidR="00EA1A78">
      <w:instrText xml:space="preserve"> PAGE   \* MERGEFORMAT </w:instrText>
    </w:r>
    <w:r w:rsidR="00073ED3">
      <w:fldChar w:fldCharType="separate"/>
    </w:r>
    <w:r w:rsidR="00BE31D2">
      <w:rPr>
        <w:noProof/>
      </w:rPr>
      <w:t>2</w:t>
    </w:r>
    <w:r w:rsidR="00073E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14" w:rsidRDefault="006C3D14" w:rsidP="00837EC7">
      <w:pPr>
        <w:spacing w:line="240" w:lineRule="auto"/>
      </w:pPr>
      <w:r>
        <w:separator/>
      </w:r>
    </w:p>
  </w:footnote>
  <w:footnote w:type="continuationSeparator" w:id="0">
    <w:p w:rsidR="006C3D14" w:rsidRDefault="006C3D14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165F"/>
    <w:rsid w:val="00073ED3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8773E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C1072"/>
    <w:rsid w:val="003F4234"/>
    <w:rsid w:val="0040115E"/>
    <w:rsid w:val="004072A0"/>
    <w:rsid w:val="00411347"/>
    <w:rsid w:val="00445672"/>
    <w:rsid w:val="00467ABE"/>
    <w:rsid w:val="004721DB"/>
    <w:rsid w:val="004851BE"/>
    <w:rsid w:val="0049671A"/>
    <w:rsid w:val="00496D76"/>
    <w:rsid w:val="004B09C7"/>
    <w:rsid w:val="004C485B"/>
    <w:rsid w:val="004C5D31"/>
    <w:rsid w:val="004F3656"/>
    <w:rsid w:val="005052CB"/>
    <w:rsid w:val="00537A2A"/>
    <w:rsid w:val="005960DF"/>
    <w:rsid w:val="005C16CC"/>
    <w:rsid w:val="005D03D5"/>
    <w:rsid w:val="005D3448"/>
    <w:rsid w:val="005D4B07"/>
    <w:rsid w:val="005F1ACA"/>
    <w:rsid w:val="006348FA"/>
    <w:rsid w:val="00647BD2"/>
    <w:rsid w:val="00677337"/>
    <w:rsid w:val="006A22F8"/>
    <w:rsid w:val="006A599E"/>
    <w:rsid w:val="006C3D14"/>
    <w:rsid w:val="006C713F"/>
    <w:rsid w:val="006D084A"/>
    <w:rsid w:val="006D1050"/>
    <w:rsid w:val="006D5EEA"/>
    <w:rsid w:val="006D719E"/>
    <w:rsid w:val="007024FB"/>
    <w:rsid w:val="007357B6"/>
    <w:rsid w:val="007621DD"/>
    <w:rsid w:val="00771C9C"/>
    <w:rsid w:val="007C1D1C"/>
    <w:rsid w:val="007C32D6"/>
    <w:rsid w:val="007C3E2C"/>
    <w:rsid w:val="007D6BA1"/>
    <w:rsid w:val="007E4854"/>
    <w:rsid w:val="00800BD6"/>
    <w:rsid w:val="008109AD"/>
    <w:rsid w:val="008119C5"/>
    <w:rsid w:val="00820851"/>
    <w:rsid w:val="00825908"/>
    <w:rsid w:val="00826C8F"/>
    <w:rsid w:val="00837EC7"/>
    <w:rsid w:val="00854FEC"/>
    <w:rsid w:val="008A1768"/>
    <w:rsid w:val="008B1D49"/>
    <w:rsid w:val="008B6E6E"/>
    <w:rsid w:val="008E2ED1"/>
    <w:rsid w:val="008E7D45"/>
    <w:rsid w:val="008F1634"/>
    <w:rsid w:val="008F1A9C"/>
    <w:rsid w:val="008F78E6"/>
    <w:rsid w:val="00937B60"/>
    <w:rsid w:val="0095558E"/>
    <w:rsid w:val="00971722"/>
    <w:rsid w:val="00973929"/>
    <w:rsid w:val="009A1D85"/>
    <w:rsid w:val="009F42E4"/>
    <w:rsid w:val="00A20523"/>
    <w:rsid w:val="00A366CC"/>
    <w:rsid w:val="00A57873"/>
    <w:rsid w:val="00A57E9B"/>
    <w:rsid w:val="00A804F8"/>
    <w:rsid w:val="00A828A1"/>
    <w:rsid w:val="00A8310B"/>
    <w:rsid w:val="00A973E5"/>
    <w:rsid w:val="00AB509B"/>
    <w:rsid w:val="00AD39E6"/>
    <w:rsid w:val="00AE2D84"/>
    <w:rsid w:val="00AE3A55"/>
    <w:rsid w:val="00B542E5"/>
    <w:rsid w:val="00B94BD8"/>
    <w:rsid w:val="00BB001D"/>
    <w:rsid w:val="00BC763D"/>
    <w:rsid w:val="00BD0F95"/>
    <w:rsid w:val="00BD7E76"/>
    <w:rsid w:val="00BE31D2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7204B"/>
    <w:rsid w:val="00CA26AC"/>
    <w:rsid w:val="00CB3549"/>
    <w:rsid w:val="00D0707C"/>
    <w:rsid w:val="00D226DE"/>
    <w:rsid w:val="00D270BC"/>
    <w:rsid w:val="00D41BE0"/>
    <w:rsid w:val="00D441E4"/>
    <w:rsid w:val="00D90E93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1A78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267AA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721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721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DAE6-93A3-435A-AE4F-1D7F9C6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Foerster</cp:lastModifiedBy>
  <cp:revision>2</cp:revision>
  <dcterms:created xsi:type="dcterms:W3CDTF">2017-12-01T14:04:00Z</dcterms:created>
  <dcterms:modified xsi:type="dcterms:W3CDTF">2017-12-01T14:04:00Z</dcterms:modified>
</cp:coreProperties>
</file>