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366C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7C1D1C" w:rsidRDefault="002D3F70" w:rsidP="00366C8F">
      <w:pPr>
        <w:spacing w:line="240" w:lineRule="auto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518"/>
        <w:gridCol w:w="560"/>
        <w:gridCol w:w="3078"/>
        <w:gridCol w:w="3079"/>
      </w:tblGrid>
      <w:tr w:rsidR="00B94BD8" w:rsidRPr="008119C5" w:rsidTr="00D11444">
        <w:tc>
          <w:tcPr>
            <w:tcW w:w="2518" w:type="dxa"/>
          </w:tcPr>
          <w:p w:rsidR="00B94BD8" w:rsidRPr="008119C5" w:rsidRDefault="00B94BD8" w:rsidP="00366C8F">
            <w:pPr>
              <w:spacing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717" w:type="dxa"/>
            <w:gridSpan w:val="3"/>
          </w:tcPr>
          <w:p w:rsidR="00B94BD8" w:rsidRPr="00202F49" w:rsidRDefault="00295A29" w:rsidP="00366C8F">
            <w:pPr>
              <w:spacing w:line="240" w:lineRule="auto"/>
            </w:pPr>
            <w:r>
              <w:t>Englisch</w:t>
            </w:r>
          </w:p>
        </w:tc>
      </w:tr>
      <w:tr w:rsidR="00E263A6" w:rsidRPr="00E263A6" w:rsidTr="00D11444">
        <w:tc>
          <w:tcPr>
            <w:tcW w:w="2518" w:type="dxa"/>
          </w:tcPr>
          <w:p w:rsidR="00E263A6" w:rsidRPr="009B046A" w:rsidRDefault="00E263A6" w:rsidP="00D11444">
            <w:pPr>
              <w:spacing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Pr="00366C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17" w:type="dxa"/>
            <w:gridSpan w:val="3"/>
          </w:tcPr>
          <w:p w:rsidR="00E263A6" w:rsidRPr="00E263A6" w:rsidRDefault="00F7610D" w:rsidP="00366C8F">
            <w:pPr>
              <w:spacing w:line="240" w:lineRule="auto"/>
            </w:pPr>
            <w:r w:rsidRPr="00F7610D">
              <w:t>Exchange Student</w:t>
            </w:r>
          </w:p>
        </w:tc>
      </w:tr>
      <w:tr w:rsidR="00B94BD8" w:rsidRPr="008119C5" w:rsidTr="00D11444">
        <w:tc>
          <w:tcPr>
            <w:tcW w:w="2518" w:type="dxa"/>
          </w:tcPr>
          <w:p w:rsidR="00B94BD8" w:rsidRPr="008119C5" w:rsidRDefault="00B94BD8" w:rsidP="00366C8F">
            <w:pPr>
              <w:spacing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717" w:type="dxa"/>
            <w:gridSpan w:val="3"/>
          </w:tcPr>
          <w:p w:rsidR="00B94BD8" w:rsidRPr="008A1768" w:rsidRDefault="00984A73" w:rsidP="00366C8F">
            <w:pPr>
              <w:spacing w:line="240" w:lineRule="auto"/>
            </w:pPr>
            <w:r>
              <w:t>Funktionale kommunikative Kompetenz</w:t>
            </w:r>
          </w:p>
        </w:tc>
      </w:tr>
      <w:tr w:rsidR="00B94BD8" w:rsidRPr="008119C5" w:rsidTr="00D11444">
        <w:tc>
          <w:tcPr>
            <w:tcW w:w="2518" w:type="dxa"/>
          </w:tcPr>
          <w:p w:rsidR="00B94BD8" w:rsidRPr="008119C5" w:rsidRDefault="00B94BD8" w:rsidP="00366C8F">
            <w:pPr>
              <w:tabs>
                <w:tab w:val="left" w:pos="1373"/>
              </w:tabs>
              <w:spacing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717" w:type="dxa"/>
            <w:gridSpan w:val="3"/>
          </w:tcPr>
          <w:p w:rsidR="00B94BD8" w:rsidRDefault="00DE202F" w:rsidP="00366C8F">
            <w:pPr>
              <w:tabs>
                <w:tab w:val="left" w:pos="1373"/>
              </w:tabs>
              <w:spacing w:line="240" w:lineRule="auto"/>
            </w:pPr>
            <w:r>
              <w:t>Hör</w:t>
            </w:r>
            <w:r w:rsidR="004875FA">
              <w:t>-/Hörsehverstehen</w:t>
            </w:r>
          </w:p>
          <w:p w:rsidR="0038029F" w:rsidRDefault="00F229E4" w:rsidP="00366C8F">
            <w:pPr>
              <w:tabs>
                <w:tab w:val="left" w:pos="1373"/>
              </w:tabs>
              <w:spacing w:line="240" w:lineRule="auto"/>
            </w:pPr>
            <w:r>
              <w:t>Verfügen über sprachliche Mittel</w:t>
            </w:r>
          </w:p>
          <w:p w:rsidR="001A6822" w:rsidRDefault="001A6822" w:rsidP="00366C8F">
            <w:pPr>
              <w:tabs>
                <w:tab w:val="left" w:pos="1373"/>
              </w:tabs>
              <w:spacing w:line="240" w:lineRule="auto"/>
            </w:pPr>
            <w:r>
              <w:t>Interkulturelle Kompetenz</w:t>
            </w:r>
            <w:r w:rsidR="00217EA8">
              <w:t xml:space="preserve"> (übergreifender Standard E/F/G/H)</w:t>
            </w:r>
          </w:p>
          <w:p w:rsidR="001159BA" w:rsidRPr="008A1768" w:rsidRDefault="001159BA" w:rsidP="00366C8F">
            <w:pPr>
              <w:tabs>
                <w:tab w:val="left" w:pos="1373"/>
              </w:tabs>
              <w:spacing w:line="240" w:lineRule="auto"/>
            </w:pPr>
            <w:r>
              <w:t>Text- und Medienkompetenz (übergreifender Standard E/F/G)</w:t>
            </w:r>
          </w:p>
        </w:tc>
      </w:tr>
      <w:tr w:rsidR="00B94BD8" w:rsidRPr="008119C5" w:rsidTr="00D11444">
        <w:tc>
          <w:tcPr>
            <w:tcW w:w="2518" w:type="dxa"/>
          </w:tcPr>
          <w:p w:rsidR="00B94BD8" w:rsidRPr="008119C5" w:rsidRDefault="008E2ED1" w:rsidP="00366C8F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717" w:type="dxa"/>
            <w:gridSpan w:val="3"/>
          </w:tcPr>
          <w:p w:rsidR="00B94BD8" w:rsidRPr="008A1768" w:rsidRDefault="0068691F" w:rsidP="00366C8F">
            <w:pPr>
              <w:tabs>
                <w:tab w:val="left" w:pos="1190"/>
              </w:tabs>
              <w:spacing w:line="240" w:lineRule="auto"/>
            </w:pPr>
            <w:r>
              <w:t>E</w:t>
            </w:r>
          </w:p>
        </w:tc>
      </w:tr>
      <w:tr w:rsidR="008E2ED1" w:rsidRPr="008119C5" w:rsidTr="00D11444">
        <w:tc>
          <w:tcPr>
            <w:tcW w:w="2518" w:type="dxa"/>
          </w:tcPr>
          <w:p w:rsidR="008E2ED1" w:rsidRDefault="008E2ED1" w:rsidP="00366C8F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717" w:type="dxa"/>
            <w:gridSpan w:val="3"/>
          </w:tcPr>
          <w:p w:rsidR="00C85E82" w:rsidRPr="00C85E82" w:rsidRDefault="004875FA" w:rsidP="00366C8F">
            <w:pPr>
              <w:pStyle w:val="Aufzhlung"/>
              <w:numPr>
                <w:ilvl w:val="0"/>
                <w:numId w:val="0"/>
              </w:numPr>
              <w:spacing w:before="0" w:after="0"/>
              <w:jc w:val="both"/>
            </w:pPr>
            <w:r>
              <w:t xml:space="preserve">Die </w:t>
            </w:r>
            <w:r w:rsidR="00C85E82" w:rsidRPr="00C85E82">
              <w:t>Schülerinnen und Schüler können</w:t>
            </w:r>
          </w:p>
          <w:p w:rsidR="00C85E82" w:rsidRPr="00C85E82" w:rsidRDefault="00C85E82" w:rsidP="00D11444">
            <w:pPr>
              <w:pStyle w:val="Aufzhlung"/>
              <w:numPr>
                <w:ilvl w:val="0"/>
                <w:numId w:val="0"/>
              </w:numPr>
              <w:spacing w:before="0" w:after="0"/>
              <w:ind w:left="317"/>
            </w:pPr>
            <w:r w:rsidRPr="00C85E82">
              <w:t>kurzen authentischen Hör-/Hörsehtexten mit einem hohen A</w:t>
            </w:r>
            <w:r w:rsidRPr="00C85E82">
              <w:t>n</w:t>
            </w:r>
            <w:r w:rsidRPr="00C85E82">
              <w:t>teil bekannter sprachlicher Mittel das Thema (global) bzw. g</w:t>
            </w:r>
            <w:r w:rsidRPr="00C85E82">
              <w:t>e</w:t>
            </w:r>
            <w:r w:rsidRPr="00C85E82">
              <w:t>zielt Einzelinformationen (selektiv) entnehmen, wenn langsam, deutlich und mit Pausen oder Wiederholungen in Standar</w:t>
            </w:r>
            <w:r w:rsidRPr="00C85E82">
              <w:t>d</w:t>
            </w:r>
            <w:r w:rsidRPr="00C85E82">
              <w:t>sprache über vertraute Alltagsthemen gesprochen wird</w:t>
            </w:r>
          </w:p>
          <w:p w:rsidR="00366C8F" w:rsidRDefault="00C85E82" w:rsidP="00D11444">
            <w:pPr>
              <w:tabs>
                <w:tab w:val="left" w:pos="1190"/>
              </w:tabs>
              <w:spacing w:line="240" w:lineRule="auto"/>
              <w:ind w:left="317"/>
              <w:rPr>
                <w:szCs w:val="20"/>
              </w:rPr>
            </w:pPr>
            <w:r w:rsidRPr="00C85E82">
              <w:t xml:space="preserve">zunehmend selbstständig Hypothesen zum Textinhalt bilden sowie einfache </w:t>
            </w:r>
            <w:r w:rsidRPr="00C85E82">
              <w:rPr>
                <w:szCs w:val="20"/>
              </w:rPr>
              <w:t>Hörtechniken und Strategien anwenden</w:t>
            </w:r>
          </w:p>
          <w:p w:rsidR="004875FA" w:rsidRDefault="004875FA" w:rsidP="00D11444">
            <w:pPr>
              <w:tabs>
                <w:tab w:val="left" w:pos="1190"/>
              </w:tabs>
              <w:spacing w:line="240" w:lineRule="auto"/>
              <w:ind w:left="317"/>
              <w:rPr>
                <w:color w:val="76923C"/>
                <w:szCs w:val="20"/>
              </w:rPr>
            </w:pPr>
            <w:r>
              <w:rPr>
                <w:color w:val="76923C"/>
                <w:szCs w:val="20"/>
              </w:rPr>
              <w:t>(EN-K1.1E)</w:t>
            </w:r>
          </w:p>
          <w:p w:rsidR="00F7610D" w:rsidRPr="00C85E82" w:rsidRDefault="00F7610D" w:rsidP="00D11444">
            <w:pPr>
              <w:pStyle w:val="Aufzhlung"/>
              <w:numPr>
                <w:ilvl w:val="0"/>
                <w:numId w:val="0"/>
              </w:numPr>
              <w:spacing w:after="0"/>
            </w:pPr>
            <w:r>
              <w:t xml:space="preserve">Die </w:t>
            </w:r>
            <w:r w:rsidRPr="00C85E82">
              <w:t>Schülerinnen und Schüler können</w:t>
            </w:r>
          </w:p>
          <w:p w:rsidR="00F229E4" w:rsidRDefault="00F229E4" w:rsidP="00D11444">
            <w:pPr>
              <w:tabs>
                <w:tab w:val="left" w:pos="1190"/>
              </w:tabs>
              <w:spacing w:line="240" w:lineRule="auto"/>
              <w:ind w:left="317"/>
              <w:rPr>
                <w:color w:val="76923C"/>
              </w:rPr>
            </w:pPr>
            <w:r w:rsidRPr="00F229E4">
              <w:rPr>
                <w:rFonts w:cs="Arial"/>
              </w:rPr>
              <w:t>in vertrauten Alltagssituationen und zu bekannten Themen z</w:t>
            </w:r>
            <w:r w:rsidRPr="00F229E4">
              <w:rPr>
                <w:rFonts w:cs="Arial"/>
              </w:rPr>
              <w:t>u</w:t>
            </w:r>
            <w:r w:rsidRPr="00F229E4">
              <w:rPr>
                <w:rFonts w:cs="Arial"/>
              </w:rPr>
              <w:t>nehmend spontan sprachlich agieren und dabei erlernte sprachliche Mittel angemessen anwenden</w:t>
            </w:r>
            <w:r>
              <w:rPr>
                <w:rFonts w:cs="Arial"/>
              </w:rPr>
              <w:t xml:space="preserve"> </w:t>
            </w:r>
            <w:r w:rsidRPr="00F229E4">
              <w:rPr>
                <w:color w:val="76923C"/>
              </w:rPr>
              <w:t>(EN-K1.6E)</w:t>
            </w:r>
          </w:p>
          <w:p w:rsidR="00F7610D" w:rsidRPr="00C85E82" w:rsidRDefault="00F7610D" w:rsidP="00D11444">
            <w:pPr>
              <w:pStyle w:val="Aufzhlung"/>
              <w:numPr>
                <w:ilvl w:val="0"/>
                <w:numId w:val="0"/>
              </w:numPr>
              <w:spacing w:after="0"/>
            </w:pPr>
            <w:r>
              <w:t xml:space="preserve">Die </w:t>
            </w:r>
            <w:r w:rsidRPr="00C85E82">
              <w:t>Schülerinnen und Schüler können</w:t>
            </w:r>
          </w:p>
          <w:p w:rsidR="00F229E4" w:rsidRPr="00F229E4" w:rsidRDefault="00F229E4" w:rsidP="00D11444">
            <w:pPr>
              <w:pStyle w:val="Aufzhlung"/>
              <w:numPr>
                <w:ilvl w:val="0"/>
                <w:numId w:val="0"/>
              </w:numPr>
              <w:spacing w:before="0" w:after="0"/>
              <w:ind w:left="317"/>
            </w:pPr>
            <w:r w:rsidRPr="00F229E4">
              <w:t>ihr soziokulturelles Orientierungswissen zunehmend</w:t>
            </w:r>
            <w:r w:rsidR="001A6822">
              <w:t xml:space="preserve"> selbs</w:t>
            </w:r>
            <w:r w:rsidR="001A6822">
              <w:t>t</w:t>
            </w:r>
            <w:r w:rsidR="001A6822">
              <w:t xml:space="preserve">ständig erweitern, neue </w:t>
            </w:r>
            <w:r w:rsidRPr="00F229E4">
              <w:t>Informationen einordnen und dabei Stereotype zunehmend kritisch hinterfragen</w:t>
            </w:r>
          </w:p>
          <w:p w:rsidR="00F229E4" w:rsidRPr="00F229E4" w:rsidRDefault="00F229E4" w:rsidP="00D11444">
            <w:pPr>
              <w:pStyle w:val="Aufzhlung"/>
              <w:numPr>
                <w:ilvl w:val="0"/>
                <w:numId w:val="0"/>
              </w:numPr>
              <w:spacing w:before="0" w:after="0"/>
              <w:ind w:left="317"/>
            </w:pPr>
            <w:r w:rsidRPr="00F229E4">
              <w:t>sich offen mit kulturspezifischen Wertvorstellungen und Han</w:t>
            </w:r>
            <w:r w:rsidRPr="00F229E4">
              <w:t>d</w:t>
            </w:r>
            <w:r w:rsidRPr="00F229E4">
              <w:t xml:space="preserve">lungsweisen in den Zielsprachenländern reflektierend auseinandersetzen und diese mit ihren persönlichen </w:t>
            </w:r>
            <w:r w:rsidRPr="00F229E4">
              <w:br/>
              <w:t>kulturell und/oder sozial bedingten Erfahrungen vergleichen</w:t>
            </w:r>
          </w:p>
          <w:p w:rsidR="00F229E4" w:rsidRPr="00F229E4" w:rsidRDefault="00F229E4" w:rsidP="00D11444">
            <w:pPr>
              <w:pStyle w:val="Aufzhlung"/>
              <w:keepNext/>
              <w:numPr>
                <w:ilvl w:val="0"/>
                <w:numId w:val="0"/>
              </w:numPr>
              <w:spacing w:before="0" w:after="0"/>
              <w:ind w:left="317"/>
            </w:pPr>
            <w:r w:rsidRPr="00F229E4">
              <w:t>in Begegnungssituationen zunehmend sprachlich und kul</w:t>
            </w:r>
            <w:r w:rsidR="00217EA8">
              <w:t>turell angemessen agieren</w:t>
            </w:r>
            <w:r w:rsidRPr="00F229E4">
              <w:t xml:space="preserve"> </w:t>
            </w:r>
          </w:p>
          <w:p w:rsidR="00F229E4" w:rsidRDefault="00F229E4" w:rsidP="00D11444">
            <w:pPr>
              <w:tabs>
                <w:tab w:val="left" w:pos="1190"/>
              </w:tabs>
              <w:spacing w:line="240" w:lineRule="auto"/>
              <w:ind w:left="317"/>
              <w:rPr>
                <w:color w:val="76923C"/>
              </w:rPr>
            </w:pPr>
            <w:r w:rsidRPr="00F229E4">
              <w:t>mit anderen Perspektiven umgehen, ggf. Unstimmigke</w:t>
            </w:r>
            <w:r>
              <w:t xml:space="preserve">iten aushalten und reflektiert </w:t>
            </w:r>
            <w:r w:rsidRPr="00F229E4">
              <w:t>Entscheidungen treffen</w:t>
            </w:r>
            <w:r w:rsidR="00366C8F">
              <w:t xml:space="preserve"> </w:t>
            </w:r>
            <w:r>
              <w:rPr>
                <w:color w:val="76923C"/>
              </w:rPr>
              <w:t>(EN</w:t>
            </w:r>
            <w:r w:rsidRPr="00F229E4">
              <w:rPr>
                <w:color w:val="76923C"/>
              </w:rPr>
              <w:t>-K2EFGH)</w:t>
            </w:r>
          </w:p>
          <w:p w:rsidR="00F7610D" w:rsidRPr="00C85E82" w:rsidRDefault="00F7610D" w:rsidP="00D11444">
            <w:pPr>
              <w:pStyle w:val="Aufzhlung"/>
              <w:numPr>
                <w:ilvl w:val="0"/>
                <w:numId w:val="0"/>
              </w:numPr>
              <w:spacing w:after="0"/>
            </w:pPr>
            <w:r>
              <w:t xml:space="preserve">Die </w:t>
            </w:r>
            <w:r w:rsidRPr="00C85E82">
              <w:t>Schülerinnen und Schüler können</w:t>
            </w:r>
          </w:p>
          <w:p w:rsidR="001159BA" w:rsidRDefault="001159BA" w:rsidP="00D11444">
            <w:pPr>
              <w:pStyle w:val="Aufzhlung"/>
              <w:numPr>
                <w:ilvl w:val="0"/>
                <w:numId w:val="0"/>
              </w:numPr>
              <w:spacing w:before="0" w:after="0"/>
              <w:ind w:left="317"/>
            </w:pPr>
            <w:r>
              <w:t>mithilfe sprachlichen, inhaltlichen sowie textsortenspezifi</w:t>
            </w:r>
            <w:r w:rsidR="004C5B2E">
              <w:t xml:space="preserve">schen </w:t>
            </w:r>
            <w:r>
              <w:t>Wissens einfache, auf ihre Lebenswelt bezogene literarische Texte, Sachtexte, diskontinuierliche Texte und mediale Präse</w:t>
            </w:r>
            <w:r>
              <w:t>n</w:t>
            </w:r>
            <w:r>
              <w:t>tationen aufgabenbezogen erschließen(…)</w:t>
            </w:r>
          </w:p>
          <w:p w:rsidR="001159BA" w:rsidRPr="00F229E4" w:rsidRDefault="001159BA" w:rsidP="00D11444">
            <w:pPr>
              <w:pStyle w:val="Aufzhlung"/>
              <w:numPr>
                <w:ilvl w:val="0"/>
                <w:numId w:val="0"/>
              </w:numPr>
              <w:spacing w:before="0" w:after="0"/>
              <w:ind w:left="317"/>
            </w:pPr>
            <w:r>
              <w:t>digitale und analoge Medien weitgehend selbstständig aufg</w:t>
            </w:r>
            <w:r>
              <w:t>a</w:t>
            </w:r>
            <w:r>
              <w:t>benbezogen zur Informationsbeschaffung und Textproduktion nutzen</w:t>
            </w:r>
            <w:r w:rsidR="00366C8F">
              <w:t xml:space="preserve"> </w:t>
            </w:r>
            <w:r>
              <w:rPr>
                <w:color w:val="76923C"/>
              </w:rPr>
              <w:t>(EN-K3E/F/G</w:t>
            </w:r>
            <w:r w:rsidRPr="001A26E4">
              <w:rPr>
                <w:color w:val="76923C"/>
              </w:rPr>
              <w:t>)</w:t>
            </w:r>
          </w:p>
        </w:tc>
      </w:tr>
      <w:tr w:rsidR="00B94BD8" w:rsidRPr="008119C5" w:rsidTr="00D11444">
        <w:tc>
          <w:tcPr>
            <w:tcW w:w="2518" w:type="dxa"/>
            <w:tcBorders>
              <w:bottom w:val="single" w:sz="4" w:space="0" w:color="808080"/>
            </w:tcBorders>
          </w:tcPr>
          <w:p w:rsidR="00B94BD8" w:rsidRPr="008119C5" w:rsidRDefault="00B94BD8" w:rsidP="00366C8F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717" w:type="dxa"/>
            <w:gridSpan w:val="3"/>
            <w:tcBorders>
              <w:bottom w:val="single" w:sz="4" w:space="0" w:color="808080"/>
            </w:tcBorders>
          </w:tcPr>
          <w:p w:rsidR="00B94BD8" w:rsidRPr="004875FA" w:rsidRDefault="00984A73" w:rsidP="00366C8F">
            <w:pPr>
              <w:tabs>
                <w:tab w:val="left" w:pos="1190"/>
              </w:tabs>
              <w:spacing w:line="240" w:lineRule="auto"/>
              <w:rPr>
                <w:color w:val="76923C"/>
              </w:rPr>
            </w:pPr>
            <w:r>
              <w:t>Individuum und Lebenswel</w:t>
            </w:r>
            <w:r w:rsidR="007622FF">
              <w:t>t</w:t>
            </w:r>
            <w:r w:rsidR="004875FA">
              <w:t xml:space="preserve"> </w:t>
            </w:r>
            <w:r w:rsidR="004875FA">
              <w:rPr>
                <w:color w:val="76923C"/>
              </w:rPr>
              <w:t>(EN-I1)</w:t>
            </w:r>
          </w:p>
        </w:tc>
      </w:tr>
      <w:tr w:rsidR="005C16CC" w:rsidRPr="008119C5" w:rsidTr="00D11444">
        <w:tc>
          <w:tcPr>
            <w:tcW w:w="2518" w:type="dxa"/>
            <w:tcBorders>
              <w:bottom w:val="single" w:sz="4" w:space="0" w:color="808080"/>
            </w:tcBorders>
          </w:tcPr>
          <w:p w:rsidR="005C16CC" w:rsidRDefault="005C16CC" w:rsidP="00366C8F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riculum (BC)</w:t>
            </w:r>
            <w:r w:rsidR="00C16860" w:rsidRPr="00E363A5">
              <w:rPr>
                <w:b/>
              </w:rPr>
              <w:t xml:space="preserve"> oder übergreifenden Th</w:t>
            </w:r>
            <w:r w:rsidR="00C16860" w:rsidRPr="00E363A5">
              <w:rPr>
                <w:b/>
              </w:rPr>
              <w:t>e</w:t>
            </w:r>
            <w:r w:rsidR="00C16860" w:rsidRPr="00E363A5">
              <w:rPr>
                <w:b/>
              </w:rPr>
              <w:t>men (ÜT)</w:t>
            </w:r>
          </w:p>
        </w:tc>
        <w:tc>
          <w:tcPr>
            <w:tcW w:w="6717" w:type="dxa"/>
            <w:gridSpan w:val="3"/>
            <w:tcBorders>
              <w:bottom w:val="single" w:sz="4" w:space="0" w:color="808080"/>
            </w:tcBorders>
          </w:tcPr>
          <w:p w:rsidR="005C16CC" w:rsidRDefault="004875FA" w:rsidP="00366C8F">
            <w:pPr>
              <w:tabs>
                <w:tab w:val="left" w:pos="1190"/>
              </w:tabs>
              <w:spacing w:line="240" w:lineRule="auto"/>
            </w:pPr>
            <w:r>
              <w:t>BC Sprachbildung</w:t>
            </w:r>
          </w:p>
          <w:p w:rsidR="00951EC0" w:rsidRPr="00951EC0" w:rsidRDefault="00951EC0" w:rsidP="00366C8F">
            <w:pPr>
              <w:tabs>
                <w:tab w:val="left" w:pos="1190"/>
              </w:tabs>
              <w:spacing w:line="240" w:lineRule="auto"/>
              <w:rPr>
                <w:color w:val="76923C"/>
              </w:rPr>
            </w:pPr>
            <w:r>
              <w:t xml:space="preserve">ÜT Interkulturelle Bildung und Erziehung </w:t>
            </w:r>
            <w:r>
              <w:rPr>
                <w:color w:val="76923C"/>
              </w:rPr>
              <w:t>(IKB)</w:t>
            </w:r>
          </w:p>
        </w:tc>
      </w:tr>
      <w:tr w:rsidR="005C16CC" w:rsidRPr="008119C5" w:rsidTr="00D11444">
        <w:tc>
          <w:tcPr>
            <w:tcW w:w="2518" w:type="dxa"/>
            <w:tcBorders>
              <w:bottom w:val="single" w:sz="4" w:space="0" w:color="808080"/>
            </w:tcBorders>
          </w:tcPr>
          <w:p w:rsidR="005C16CC" w:rsidRDefault="004851BE" w:rsidP="00366C8F">
            <w:pPr>
              <w:tabs>
                <w:tab w:val="left" w:pos="119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717" w:type="dxa"/>
            <w:gridSpan w:val="3"/>
            <w:tcBorders>
              <w:bottom w:val="single" w:sz="4" w:space="0" w:color="808080"/>
            </w:tcBorders>
          </w:tcPr>
          <w:p w:rsidR="005C16CC" w:rsidRPr="004875FA" w:rsidRDefault="004875FA" w:rsidP="00366C8F">
            <w:pPr>
              <w:tabs>
                <w:tab w:val="left" w:pos="1190"/>
              </w:tabs>
              <w:spacing w:line="240" w:lineRule="auto"/>
              <w:rPr>
                <w:color w:val="76923C"/>
              </w:rPr>
            </w:pPr>
            <w:r>
              <w:t xml:space="preserve">Rezeption/Hörverstehen </w:t>
            </w:r>
            <w:r>
              <w:rPr>
                <w:color w:val="76923C"/>
              </w:rPr>
              <w:t>(</w:t>
            </w:r>
            <w:r w:rsidR="00951EC0">
              <w:rPr>
                <w:color w:val="76923C"/>
              </w:rPr>
              <w:t>SB-K1)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66C8F">
            <w:pPr>
              <w:spacing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366C8F">
            <w:pPr>
              <w:tabs>
                <w:tab w:val="left" w:pos="840"/>
              </w:tabs>
              <w:spacing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366C8F">
            <w:pPr>
              <w:spacing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366C8F">
            <w:pPr>
              <w:tabs>
                <w:tab w:val="left" w:pos="1735"/>
              </w:tabs>
              <w:spacing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984A73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66C8F">
            <w:pPr>
              <w:spacing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366C8F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6D609F" w:rsidRDefault="00971722" w:rsidP="00366C8F">
            <w:pPr>
              <w:spacing w:line="240" w:lineRule="auto"/>
              <w:rPr>
                <w:b/>
              </w:rPr>
            </w:pPr>
            <w:r w:rsidRPr="006D609F">
              <w:rPr>
                <w:b/>
              </w:rPr>
              <w:t>Jahrgangsstufe</w:t>
            </w:r>
            <w:r w:rsidR="00F17F92" w:rsidRPr="006D609F">
              <w:rPr>
                <w:b/>
              </w:rPr>
              <w:t>:</w:t>
            </w:r>
            <w:r w:rsidR="00F5187C" w:rsidRPr="006D609F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366C8F">
            <w:pPr>
              <w:spacing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56D0" w:rsidRDefault="00F5187C" w:rsidP="00AE56D0">
      <w:pPr>
        <w:spacing w:before="60" w:after="60"/>
        <w:rPr>
          <w:noProof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D609F" w:rsidRDefault="006D609F" w:rsidP="00AE56D0">
      <w:pPr>
        <w:rPr>
          <w:rFonts w:cs="Arial"/>
          <w:b/>
          <w:bCs/>
          <w:sz w:val="24"/>
          <w:szCs w:val="24"/>
        </w:rPr>
      </w:pPr>
    </w:p>
    <w:p w:rsidR="00AE56D0" w:rsidRPr="006D609F" w:rsidRDefault="006D609F" w:rsidP="00AE56D0">
      <w:pPr>
        <w:rPr>
          <w:rFonts w:cs="Arial"/>
          <w:b/>
          <w:bCs/>
          <w:sz w:val="24"/>
          <w:szCs w:val="24"/>
        </w:rPr>
      </w:pPr>
      <w:r w:rsidRPr="006D609F">
        <w:rPr>
          <w:rFonts w:cs="Arial"/>
          <w:b/>
          <w:bCs/>
          <w:sz w:val="24"/>
          <w:szCs w:val="24"/>
        </w:rPr>
        <w:t>An Exchange Student in Germany</w:t>
      </w:r>
    </w:p>
    <w:p w:rsidR="006D609F" w:rsidRPr="006D609F" w:rsidRDefault="006D609F" w:rsidP="00AE56D0">
      <w:pPr>
        <w:rPr>
          <w:rFonts w:cs="Arial"/>
          <w:b/>
          <w:bCs/>
          <w:sz w:val="28"/>
          <w:szCs w:val="28"/>
        </w:rPr>
      </w:pPr>
    </w:p>
    <w:p w:rsidR="00AE56D0" w:rsidRPr="006D609F" w:rsidRDefault="00AE56D0" w:rsidP="00F229E4">
      <w:pPr>
        <w:pStyle w:val="Aufzhlung"/>
        <w:numPr>
          <w:ilvl w:val="0"/>
          <w:numId w:val="19"/>
        </w:numPr>
        <w:spacing w:before="0" w:after="0" w:line="276" w:lineRule="auto"/>
        <w:ind w:left="714" w:hanging="357"/>
        <w:rPr>
          <w:lang w:val="en-US"/>
        </w:rPr>
      </w:pPr>
      <w:r w:rsidRPr="006D609F">
        <w:rPr>
          <w:lang w:val="en-US"/>
        </w:rPr>
        <w:t xml:space="preserve">You are going to hear an interview with an exchange student. </w:t>
      </w:r>
    </w:p>
    <w:p w:rsidR="00AE56D0" w:rsidRPr="006D609F" w:rsidRDefault="00AE56D0" w:rsidP="00F229E4">
      <w:pPr>
        <w:pStyle w:val="Aufzhlung"/>
        <w:numPr>
          <w:ilvl w:val="0"/>
          <w:numId w:val="19"/>
        </w:numPr>
        <w:spacing w:before="0" w:after="0" w:line="276" w:lineRule="auto"/>
        <w:ind w:left="714" w:hanging="357"/>
        <w:rPr>
          <w:lang w:val="en-US"/>
        </w:rPr>
      </w:pPr>
      <w:r w:rsidRPr="006D609F">
        <w:rPr>
          <w:lang w:val="en-GB"/>
        </w:rPr>
        <w:t>Read the statements (1-10).</w:t>
      </w:r>
    </w:p>
    <w:p w:rsidR="00AE56D0" w:rsidRPr="006D609F" w:rsidRDefault="00AE56D0" w:rsidP="00F229E4">
      <w:pPr>
        <w:pStyle w:val="Aufzhlung"/>
        <w:numPr>
          <w:ilvl w:val="0"/>
          <w:numId w:val="19"/>
        </w:numPr>
        <w:spacing w:before="0" w:after="0" w:line="276" w:lineRule="auto"/>
        <w:ind w:left="714" w:hanging="357"/>
        <w:rPr>
          <w:lang w:val="en-US"/>
        </w:rPr>
      </w:pPr>
      <w:r w:rsidRPr="006D609F">
        <w:rPr>
          <w:lang w:val="en-US"/>
        </w:rPr>
        <w:t>Put a tick (</w:t>
      </w:r>
      <w:r w:rsidRPr="006D609F">
        <w:sym w:font="Wingdings" w:char="F0FC"/>
      </w:r>
      <w:r w:rsidRPr="006D609F">
        <w:rPr>
          <w:lang w:val="en-US"/>
        </w:rPr>
        <w:t>) in the correct box for TRUE or FALSE.</w:t>
      </w:r>
    </w:p>
    <w:p w:rsidR="00AE56D0" w:rsidRPr="006D609F" w:rsidRDefault="001A6822" w:rsidP="00F229E4">
      <w:pPr>
        <w:pStyle w:val="Aufzhlung"/>
        <w:numPr>
          <w:ilvl w:val="0"/>
          <w:numId w:val="19"/>
        </w:numPr>
        <w:spacing w:before="0" w:after="0" w:line="276" w:lineRule="auto"/>
        <w:ind w:left="714" w:hanging="357"/>
        <w:rPr>
          <w:lang w:val="en-US"/>
        </w:rPr>
      </w:pPr>
      <w:r>
        <w:rPr>
          <w:lang w:val="en-US"/>
        </w:rPr>
        <w:t xml:space="preserve">You can listen </w:t>
      </w:r>
      <w:r w:rsidR="00AE56D0" w:rsidRPr="006D609F">
        <w:rPr>
          <w:lang w:val="en-US"/>
        </w:rPr>
        <w:t>to the interview twice.</w:t>
      </w:r>
      <w:r w:rsidR="00AE56D0" w:rsidRPr="006D609F">
        <w:rPr>
          <w:lang w:val="en-GB"/>
        </w:rPr>
        <w:t xml:space="preserve"> </w:t>
      </w:r>
    </w:p>
    <w:p w:rsidR="00AE56D0" w:rsidRPr="006D609F" w:rsidRDefault="00AE56D0" w:rsidP="00AE56D0">
      <w:pPr>
        <w:tabs>
          <w:tab w:val="num" w:pos="-180"/>
        </w:tabs>
        <w:ind w:right="143"/>
        <w:rPr>
          <w:rFonts w:eastAsia="Batang"/>
          <w:sz w:val="20"/>
          <w:szCs w:val="20"/>
          <w:lang w:val="en-GB"/>
        </w:rPr>
      </w:pPr>
    </w:p>
    <w:p w:rsidR="00AE56D0" w:rsidRPr="006D609F" w:rsidRDefault="00AE56D0" w:rsidP="006D609F">
      <w:pPr>
        <w:numPr>
          <w:ilvl w:val="0"/>
          <w:numId w:val="20"/>
        </w:numPr>
      </w:pPr>
      <w:r w:rsidRPr="006D609F">
        <w:t>Du wirst ein Interview mit einem Austauschschüler hören.</w:t>
      </w:r>
    </w:p>
    <w:p w:rsidR="00AE56D0" w:rsidRPr="006D609F" w:rsidRDefault="00AE56D0" w:rsidP="006D609F">
      <w:pPr>
        <w:numPr>
          <w:ilvl w:val="0"/>
          <w:numId w:val="20"/>
        </w:numPr>
      </w:pPr>
      <w:r w:rsidRPr="006D609F">
        <w:t>Lies die Aussagen (1-10).</w:t>
      </w:r>
    </w:p>
    <w:p w:rsidR="00AE56D0" w:rsidRPr="006D609F" w:rsidRDefault="00AE56D0" w:rsidP="006D609F">
      <w:pPr>
        <w:numPr>
          <w:ilvl w:val="0"/>
          <w:numId w:val="20"/>
        </w:numPr>
      </w:pPr>
      <w:r w:rsidRPr="006D609F">
        <w:t>Setze einen Haken (</w:t>
      </w:r>
      <w:r w:rsidRPr="006D609F">
        <w:sym w:font="Wingdings" w:char="F0FC"/>
      </w:r>
      <w:r w:rsidRPr="006D609F">
        <w:t>) in das richtige Feld für TRUE (richtig) oder FALSE (falsch).</w:t>
      </w:r>
    </w:p>
    <w:p w:rsidR="00AE56D0" w:rsidRPr="006D609F" w:rsidRDefault="00AE56D0" w:rsidP="006D609F">
      <w:pPr>
        <w:numPr>
          <w:ilvl w:val="0"/>
          <w:numId w:val="20"/>
        </w:numPr>
      </w:pPr>
      <w:r w:rsidRPr="006D609F">
        <w:t xml:space="preserve">Du kannst das Interview zweimal hören. </w:t>
      </w:r>
    </w:p>
    <w:p w:rsidR="00AE56D0" w:rsidRPr="002F5DFB" w:rsidRDefault="00AE56D0" w:rsidP="00AE56D0">
      <w:pPr>
        <w:rPr>
          <w:rFonts w:cs="Arial"/>
        </w:rPr>
      </w:pPr>
    </w:p>
    <w:tbl>
      <w:tblPr>
        <w:tblpPr w:leftFromText="141" w:rightFromText="141" w:vertAnchor="text" w:horzAnchor="margin" w:tblpY="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779"/>
        <w:gridCol w:w="922"/>
      </w:tblGrid>
      <w:tr w:rsidR="00AE56D0" w:rsidRPr="00286F64" w:rsidTr="0026247F">
        <w:trPr>
          <w:trHeight w:val="555"/>
        </w:trPr>
        <w:tc>
          <w:tcPr>
            <w:tcW w:w="534" w:type="dxa"/>
          </w:tcPr>
          <w:p w:rsidR="00AE56D0" w:rsidRPr="002F5DFB" w:rsidRDefault="00AE56D0" w:rsidP="0026247F">
            <w:pPr>
              <w:ind w:right="-316"/>
              <w:jc w:val="center"/>
              <w:rPr>
                <w:rFonts w:cs="Arial"/>
              </w:rPr>
            </w:pPr>
          </w:p>
        </w:tc>
        <w:tc>
          <w:tcPr>
            <w:tcW w:w="7087" w:type="dxa"/>
          </w:tcPr>
          <w:p w:rsidR="00AE56D0" w:rsidRDefault="00AE56D0" w:rsidP="0026247F">
            <w:pPr>
              <w:rPr>
                <w:rFonts w:cs="Arial"/>
              </w:rPr>
            </w:pPr>
          </w:p>
          <w:p w:rsidR="006D609F" w:rsidRPr="006D609F" w:rsidRDefault="006D609F" w:rsidP="0026247F">
            <w:pPr>
              <w:rPr>
                <w:rFonts w:cs="Arial"/>
                <w:b/>
              </w:rPr>
            </w:pPr>
            <w:r w:rsidRPr="006D609F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TATEMENTS</w:t>
            </w:r>
          </w:p>
        </w:tc>
        <w:tc>
          <w:tcPr>
            <w:tcW w:w="779" w:type="dxa"/>
          </w:tcPr>
          <w:p w:rsidR="00AE56D0" w:rsidRPr="002F5DFB" w:rsidRDefault="00AE56D0" w:rsidP="002624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E56D0" w:rsidRPr="009B5E89" w:rsidRDefault="00AE56D0" w:rsidP="002624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5E89">
              <w:rPr>
                <w:rFonts w:cs="Arial"/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922" w:type="dxa"/>
          </w:tcPr>
          <w:p w:rsidR="00AE56D0" w:rsidRPr="009B5E89" w:rsidRDefault="00AE56D0" w:rsidP="0026247F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AE56D0" w:rsidRPr="009B5E89" w:rsidRDefault="00AE56D0" w:rsidP="0026247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B5E89">
              <w:rPr>
                <w:rFonts w:cs="Arial"/>
                <w:b/>
                <w:bCs/>
                <w:sz w:val="20"/>
                <w:szCs w:val="20"/>
              </w:rPr>
              <w:t>FALSE</w:t>
            </w: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Alisha now lives in Germany.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At the German school, Alisha could choose her own lessons.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Before she went to Germany, she knew some German.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286F64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7087" w:type="dxa"/>
            <w:vAlign w:val="center"/>
          </w:tcPr>
          <w:p w:rsidR="00AE56D0" w:rsidRDefault="00AE56D0" w:rsidP="0026247F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Alisha hopes she can find a job later where she can use her </w:t>
            </w:r>
          </w:p>
          <w:p w:rsidR="00AE56D0" w:rsidRPr="00286F64" w:rsidRDefault="00AE56D0" w:rsidP="0026247F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German.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</w:p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5</w:t>
            </w:r>
          </w:p>
          <w:p w:rsidR="00AE56D0" w:rsidRPr="00286F64" w:rsidRDefault="00AE56D0" w:rsidP="0026247F">
            <w:pPr>
              <w:ind w:left="72" w:right="-316"/>
              <w:rPr>
                <w:rFonts w:cs="Arial"/>
                <w:lang w:val="en-GB"/>
              </w:rPr>
            </w:pP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She talks about how other people see the Germans.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6</w:t>
            </w: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Alisha’s host family had a sense of humour.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7</w:t>
            </w: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Alisha especially enjoyed making music with her friends.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eastAsia="Batang"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lang w:val="en-GB"/>
              </w:rPr>
            </w:pPr>
          </w:p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8</w:t>
            </w:r>
          </w:p>
          <w:p w:rsidR="00AE56D0" w:rsidRPr="00286F64" w:rsidRDefault="00AE56D0" w:rsidP="0026247F">
            <w:pPr>
              <w:ind w:left="72" w:right="-316"/>
              <w:rPr>
                <w:rFonts w:cs="Arial"/>
                <w:lang w:val="en-GB"/>
              </w:rPr>
            </w:pPr>
          </w:p>
        </w:tc>
        <w:tc>
          <w:tcPr>
            <w:tcW w:w="7087" w:type="dxa"/>
            <w:vAlign w:val="center"/>
          </w:tcPr>
          <w:p w:rsidR="00AE56D0" w:rsidRPr="009F7D94" w:rsidRDefault="00AE56D0" w:rsidP="0026247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>Ethan, the host, knows a lot about the German music scene.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eastAsia="Batang"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lang w:val="en-GB"/>
              </w:rPr>
            </w:pPr>
          </w:p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9</w:t>
            </w:r>
          </w:p>
          <w:p w:rsidR="00AE56D0" w:rsidRPr="00286F64" w:rsidRDefault="00AE56D0" w:rsidP="0026247F">
            <w:pPr>
              <w:ind w:left="72" w:right="-316"/>
              <w:rPr>
                <w:rFonts w:cs="Arial"/>
                <w:lang w:val="en-GB"/>
              </w:rPr>
            </w:pP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 lot of Germans like to keep themselves busy in their free time.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AE56D0" w:rsidRPr="00076312" w:rsidTr="0026247F">
        <w:trPr>
          <w:trHeight w:val="735"/>
        </w:trPr>
        <w:tc>
          <w:tcPr>
            <w:tcW w:w="534" w:type="dxa"/>
            <w:vAlign w:val="center"/>
          </w:tcPr>
          <w:p w:rsidR="00AE56D0" w:rsidRPr="00286F64" w:rsidRDefault="00AE56D0" w:rsidP="0026247F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10</w:t>
            </w:r>
          </w:p>
        </w:tc>
        <w:tc>
          <w:tcPr>
            <w:tcW w:w="7087" w:type="dxa"/>
            <w:vAlign w:val="center"/>
          </w:tcPr>
          <w:p w:rsidR="00AE56D0" w:rsidRPr="00286F64" w:rsidRDefault="00AE56D0" w:rsidP="0026247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Alisha is now a vegetarian.</w:t>
            </w:r>
          </w:p>
        </w:tc>
        <w:tc>
          <w:tcPr>
            <w:tcW w:w="779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E56D0" w:rsidRPr="00286F64" w:rsidRDefault="00AE56D0" w:rsidP="0026247F">
            <w:pPr>
              <w:ind w:left="72" w:right="-288"/>
              <w:rPr>
                <w:rFonts w:cs="Arial"/>
                <w:lang w:val="en-GB"/>
              </w:rPr>
            </w:pPr>
          </w:p>
        </w:tc>
      </w:tr>
    </w:tbl>
    <w:p w:rsidR="00AE56D0" w:rsidRPr="00D83779" w:rsidRDefault="00AE56D0" w:rsidP="00AE56D0">
      <w:pPr>
        <w:rPr>
          <w:rFonts w:cs="Arial"/>
          <w:lang w:val="en-US"/>
        </w:rPr>
      </w:pPr>
    </w:p>
    <w:p w:rsidR="004C09B1" w:rsidRPr="00F7610D" w:rsidRDefault="004C09B1" w:rsidP="00AE56D0">
      <w:pPr>
        <w:rPr>
          <w:noProof/>
          <w:lang w:val="en-US" w:eastAsia="de-DE"/>
        </w:rPr>
      </w:pPr>
    </w:p>
    <w:p w:rsidR="004C09B1" w:rsidRPr="00F7610D" w:rsidRDefault="004C09B1" w:rsidP="00AE56D0">
      <w:pPr>
        <w:rPr>
          <w:noProof/>
          <w:lang w:val="en-US" w:eastAsia="de-DE"/>
        </w:rPr>
      </w:pPr>
    </w:p>
    <w:p w:rsidR="00F5187C" w:rsidRPr="00B564C0" w:rsidRDefault="004C09B1" w:rsidP="00AE56D0">
      <w:pPr>
        <w:rPr>
          <w:noProof/>
          <w:lang w:eastAsia="de-DE"/>
        </w:rPr>
      </w:pPr>
      <w:r>
        <w:rPr>
          <w:noProof/>
          <w:lang w:eastAsia="de-DE"/>
        </w:rPr>
        <w:t>©</w:t>
      </w:r>
      <w:r w:rsidR="00217EA8">
        <w:rPr>
          <w:noProof/>
          <w:lang w:eastAsia="de-DE"/>
        </w:rPr>
        <w:t xml:space="preserve"> LISUM </w:t>
      </w:r>
      <w:r>
        <w:rPr>
          <w:noProof/>
          <w:lang w:eastAsia="de-DE"/>
        </w:rPr>
        <w:t>2016</w:t>
      </w:r>
      <w:r w:rsidR="00B564C0">
        <w:rPr>
          <w:noProof/>
          <w:lang w:eastAsia="de-DE"/>
        </w:rPr>
        <w:br w:type="page"/>
      </w:r>
    </w:p>
    <w:p w:rsidR="00B564C0" w:rsidRPr="00E2605E" w:rsidRDefault="004C09B1" w:rsidP="00B564C0">
      <w:pPr>
        <w:pStyle w:val="FarbigeListe-Akzent11"/>
        <w:spacing w:after="200" w:line="240" w:lineRule="auto"/>
        <w:ind w:lef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Erwartungshorizont</w:t>
      </w:r>
      <w:r w:rsidR="00B564C0" w:rsidRPr="00E2605E">
        <w:rPr>
          <w:b/>
          <w:sz w:val="24"/>
          <w:szCs w:val="24"/>
        </w:rPr>
        <w:t>:</w:t>
      </w:r>
    </w:p>
    <w:p w:rsidR="00B564C0" w:rsidRDefault="00B564C0" w:rsidP="00B564C0">
      <w:pPr>
        <w:pStyle w:val="FarbigeListe-Akzent11"/>
        <w:spacing w:after="200" w:line="240" w:lineRule="auto"/>
        <w:ind w:left="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B564C0" w:rsidRPr="00F165E6" w:rsidTr="00F165E6"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10</w:t>
            </w:r>
          </w:p>
        </w:tc>
      </w:tr>
      <w:tr w:rsidR="00B564C0" w:rsidRPr="00F165E6" w:rsidTr="00F165E6"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True</w:t>
            </w: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8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</w:tr>
      <w:tr w:rsidR="00B564C0" w:rsidRPr="00F165E6" w:rsidTr="00F165E6"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165E6">
              <w:rPr>
                <w:b/>
                <w:sz w:val="24"/>
                <w:szCs w:val="24"/>
              </w:rPr>
              <w:t>False</w:t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8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838" w:type="dxa"/>
          </w:tcPr>
          <w:p w:rsidR="00B564C0" w:rsidRPr="00F165E6" w:rsidRDefault="00B564C0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B564C0" w:rsidRPr="00F165E6" w:rsidRDefault="00E2605E" w:rsidP="00F165E6">
            <w:pPr>
              <w:pStyle w:val="FarbigeListe-Akzent11"/>
              <w:spacing w:after="200"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F165E6">
              <w:rPr>
                <w:sz w:val="28"/>
                <w:szCs w:val="28"/>
              </w:rPr>
              <w:sym w:font="Wingdings" w:char="F0FC"/>
            </w:r>
          </w:p>
        </w:tc>
      </w:tr>
    </w:tbl>
    <w:p w:rsidR="00C16860" w:rsidRPr="00B564C0" w:rsidRDefault="00C16860" w:rsidP="00BF22FF">
      <w:pPr>
        <w:spacing w:before="60" w:after="60"/>
        <w:rPr>
          <w:b/>
          <w:lang w:val="en-US"/>
        </w:rPr>
      </w:pPr>
    </w:p>
    <w:p w:rsidR="00217EA8" w:rsidRDefault="00217EA8" w:rsidP="00217EA8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Transkript:</w:t>
      </w:r>
    </w:p>
    <w:p w:rsidR="00217EA8" w:rsidRDefault="00217EA8" w:rsidP="00217EA8">
      <w:pPr>
        <w:pStyle w:val="Default"/>
        <w:rPr>
          <w:b/>
          <w:bCs/>
          <w:sz w:val="22"/>
          <w:szCs w:val="22"/>
          <w:lang w:val="en-US"/>
        </w:rPr>
      </w:pPr>
    </w:p>
    <w:p w:rsidR="00217EA8" w:rsidRDefault="00217EA8" w:rsidP="00217EA8">
      <w:pPr>
        <w:pStyle w:val="Default"/>
        <w:rPr>
          <w:b/>
          <w:bCs/>
          <w:sz w:val="22"/>
          <w:szCs w:val="22"/>
          <w:lang w:val="en-US"/>
        </w:rPr>
      </w:pPr>
      <w:r w:rsidRPr="00B564C0">
        <w:rPr>
          <w:b/>
          <w:bCs/>
          <w:sz w:val="22"/>
          <w:szCs w:val="22"/>
          <w:lang w:val="en-US"/>
        </w:rPr>
        <w:t xml:space="preserve">An Exchange Student in Germany </w:t>
      </w:r>
    </w:p>
    <w:p w:rsidR="00217EA8" w:rsidRPr="00B564C0" w:rsidRDefault="00217EA8" w:rsidP="00217EA8">
      <w:pPr>
        <w:pStyle w:val="Default"/>
        <w:tabs>
          <w:tab w:val="left" w:pos="1134"/>
        </w:tabs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Host: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>Hello to all of our Youth Radio listeners out there. This is Youth Talk with Ethan Collins live from our studio in Sydney, Australia. Our guest today is Al</w:t>
      </w:r>
      <w:r w:rsidRPr="00B564C0">
        <w:rPr>
          <w:sz w:val="22"/>
          <w:szCs w:val="22"/>
          <w:lang w:val="en-US"/>
        </w:rPr>
        <w:t>i</w:t>
      </w:r>
      <w:r w:rsidRPr="00B564C0">
        <w:rPr>
          <w:sz w:val="22"/>
          <w:szCs w:val="22"/>
          <w:lang w:val="en-US"/>
        </w:rPr>
        <w:t xml:space="preserve">sha, a high school student from Melbourne, who did something many of our young listeners dream of doing – she went abroad and lived in Europe for one year. Thanks for joining us tonight, Alisha.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Thank you for inviting me, Ethan.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Host: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Alisha, you spent your last school year in Bavaria, Germany, didn’t you?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>That’s right – my host family lives in Munich, the capital of Bavaria, I attended a local German high school and had to go to the classes that all my clas</w:t>
      </w:r>
      <w:r w:rsidRPr="00B564C0">
        <w:rPr>
          <w:sz w:val="22"/>
          <w:szCs w:val="22"/>
          <w:lang w:val="en-US"/>
        </w:rPr>
        <w:t>s</w:t>
      </w:r>
      <w:r w:rsidRPr="00B564C0">
        <w:rPr>
          <w:sz w:val="22"/>
          <w:szCs w:val="22"/>
          <w:lang w:val="en-US"/>
        </w:rPr>
        <w:t xml:space="preserve">mates went to, such as maths, science, German and history.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>Host: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Was it hard to get along at school, following classes taught in German?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>Before I travelled to Germany I had learned German at my high school for three years. However, during the first months of my stay I really had problems to understand the thick Bavarian accent of the people around me. But then again, since I was forced to speak German with almost everyone at school and in my host family, I became fluent in German pretty quickly. I am contin</w:t>
      </w:r>
      <w:r w:rsidRPr="00B564C0">
        <w:rPr>
          <w:sz w:val="22"/>
          <w:szCs w:val="22"/>
          <w:lang w:val="en-US"/>
        </w:rPr>
        <w:t>u</w:t>
      </w:r>
      <w:r w:rsidRPr="00B564C0">
        <w:rPr>
          <w:sz w:val="22"/>
          <w:szCs w:val="22"/>
          <w:lang w:val="en-US"/>
        </w:rPr>
        <w:t xml:space="preserve">ing my study of German at my school here in Australia and hope maybe one day I can work for a German company here or even in Germany.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>Host: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It surely was an exciting time for you in Munich …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>This wasn’t just a once in a lifetime experience, it was so much more. First of all, I didn’t really know much about life in Germany, except for all the stere</w:t>
      </w:r>
      <w:r w:rsidRPr="00B564C0">
        <w:rPr>
          <w:sz w:val="22"/>
          <w:szCs w:val="22"/>
          <w:lang w:val="en-US"/>
        </w:rPr>
        <w:t>o</w:t>
      </w:r>
      <w:r w:rsidRPr="00B564C0">
        <w:rPr>
          <w:sz w:val="22"/>
          <w:szCs w:val="22"/>
          <w:lang w:val="en-US"/>
        </w:rPr>
        <w:t>types and clichés one hears about Germany and the Germans – you know, like all Germans being well-organized, always on time, hard-working and h</w:t>
      </w:r>
      <w:r w:rsidRPr="00B564C0">
        <w:rPr>
          <w:sz w:val="22"/>
          <w:szCs w:val="22"/>
          <w:lang w:val="en-US"/>
        </w:rPr>
        <w:t>u</w:t>
      </w:r>
      <w:r w:rsidRPr="00B564C0">
        <w:rPr>
          <w:sz w:val="22"/>
          <w:szCs w:val="22"/>
          <w:lang w:val="en-US"/>
        </w:rPr>
        <w:t xml:space="preserve">mourless. And of course they love racing on the autobahn and drinking beer. And they of course listen to oompah music all day long – “tschängerassa, tschängerassa bum”.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>Host</w:t>
      </w:r>
      <w:proofErr w:type="gramStart"/>
      <w:r w:rsidRPr="00B564C0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>...</w:t>
      </w:r>
      <w:proofErr w:type="gramEnd"/>
      <w:r w:rsidRPr="00B564C0">
        <w:rPr>
          <w:sz w:val="22"/>
          <w:szCs w:val="22"/>
          <w:lang w:val="en-US"/>
        </w:rPr>
        <w:t xml:space="preserve"> which didn’t turn out to be true?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>Oh, only partially, if at all. My host family, for instance, often made fun of me – “the girl from down under” – but always in a very nice way. We laughed t</w:t>
      </w:r>
      <w:r w:rsidRPr="00B564C0">
        <w:rPr>
          <w:sz w:val="22"/>
          <w:szCs w:val="22"/>
          <w:lang w:val="en-US"/>
        </w:rPr>
        <w:t>o</w:t>
      </w:r>
      <w:r w:rsidRPr="00B564C0">
        <w:rPr>
          <w:sz w:val="22"/>
          <w:szCs w:val="22"/>
          <w:lang w:val="en-US"/>
        </w:rPr>
        <w:t>gether sooooo much. They really loved me. And my friends at school – Meli</w:t>
      </w:r>
      <w:r w:rsidRPr="00B564C0">
        <w:rPr>
          <w:sz w:val="22"/>
          <w:szCs w:val="22"/>
          <w:lang w:val="en-US"/>
        </w:rPr>
        <w:t>s</w:t>
      </w:r>
      <w:r w:rsidRPr="00B564C0">
        <w:rPr>
          <w:sz w:val="22"/>
          <w:szCs w:val="22"/>
          <w:lang w:val="en-US"/>
        </w:rPr>
        <w:t>sa, Zarifa, Jenny – they were simply awesome. We had so much fun together – having parties, crying while watching sentimental love stories on TV or at the cinema, going to concerts together. By the way, they have a great music sc</w:t>
      </w:r>
      <w:r w:rsidRPr="00B564C0">
        <w:rPr>
          <w:sz w:val="22"/>
          <w:szCs w:val="22"/>
          <w:lang w:val="en-US"/>
        </w:rPr>
        <w:t>e</w:t>
      </w:r>
      <w:r w:rsidRPr="00B564C0">
        <w:rPr>
          <w:sz w:val="22"/>
          <w:szCs w:val="22"/>
          <w:lang w:val="en-US"/>
        </w:rPr>
        <w:t>ne in Germany – lots of exciting young bands and artists I hadn’t known b</w:t>
      </w:r>
      <w:r w:rsidRPr="00B564C0">
        <w:rPr>
          <w:sz w:val="22"/>
          <w:szCs w:val="22"/>
          <w:lang w:val="en-US"/>
        </w:rPr>
        <w:t>e</w:t>
      </w:r>
      <w:r w:rsidRPr="00B564C0">
        <w:rPr>
          <w:sz w:val="22"/>
          <w:szCs w:val="22"/>
          <w:lang w:val="en-US"/>
        </w:rPr>
        <w:t xml:space="preserve">fore. Have you ever heard of Seed or Crow?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>Host: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Not yet. But I will check them out – promise... </w:t>
      </w:r>
    </w:p>
    <w:p w:rsidR="004C09B1" w:rsidRDefault="004C09B1">
      <w:pPr>
        <w:spacing w:line="240" w:lineRule="auto"/>
        <w:rPr>
          <w:lang w:val="en-US"/>
        </w:rPr>
      </w:pPr>
    </w:p>
    <w:p w:rsidR="004C09B1" w:rsidRDefault="004C09B1">
      <w:pPr>
        <w:spacing w:line="240" w:lineRule="auto"/>
        <w:rPr>
          <w:lang w:val="en-US"/>
        </w:rPr>
      </w:pPr>
    </w:p>
    <w:p w:rsidR="004C09B1" w:rsidRDefault="004C09B1">
      <w:pPr>
        <w:spacing w:line="240" w:lineRule="auto"/>
        <w:rPr>
          <w:lang w:val="en-US"/>
        </w:rPr>
      </w:pPr>
    </w:p>
    <w:p w:rsidR="004C09B1" w:rsidRPr="00F7610D" w:rsidRDefault="004C09B1">
      <w:pPr>
        <w:spacing w:line="240" w:lineRule="auto"/>
        <w:rPr>
          <w:noProof/>
          <w:lang w:val="en-US" w:eastAsia="de-DE"/>
        </w:rPr>
      </w:pPr>
    </w:p>
    <w:p w:rsidR="004C09B1" w:rsidRPr="00F7610D" w:rsidRDefault="004C09B1">
      <w:pPr>
        <w:spacing w:line="240" w:lineRule="auto"/>
        <w:rPr>
          <w:noProof/>
          <w:lang w:val="en-US" w:eastAsia="de-DE"/>
        </w:rPr>
      </w:pPr>
    </w:p>
    <w:p w:rsidR="004C09B1" w:rsidRPr="00F7610D" w:rsidRDefault="004C09B1">
      <w:pPr>
        <w:spacing w:line="240" w:lineRule="auto"/>
        <w:rPr>
          <w:noProof/>
          <w:lang w:val="en-US" w:eastAsia="de-DE"/>
        </w:rPr>
      </w:pPr>
    </w:p>
    <w:p w:rsidR="004C09B1" w:rsidRPr="00F7610D" w:rsidRDefault="004C09B1">
      <w:pPr>
        <w:spacing w:line="240" w:lineRule="auto"/>
        <w:rPr>
          <w:noProof/>
          <w:lang w:val="en-US" w:eastAsia="de-DE"/>
        </w:rPr>
      </w:pPr>
    </w:p>
    <w:p w:rsidR="004C09B1" w:rsidRDefault="004C09B1">
      <w:pPr>
        <w:spacing w:line="240" w:lineRule="auto"/>
        <w:rPr>
          <w:rFonts w:cs="Arial"/>
          <w:color w:val="000000"/>
          <w:lang w:val="en-US" w:eastAsia="de-DE"/>
        </w:rPr>
      </w:pPr>
      <w:r w:rsidRPr="00076312">
        <w:rPr>
          <w:noProof/>
          <w:lang w:val="en-US" w:eastAsia="de-DE"/>
        </w:rPr>
        <w:t>© LISUM 2016</w:t>
      </w:r>
      <w:r>
        <w:rPr>
          <w:lang w:val="en-US"/>
        </w:rPr>
        <w:br w:type="page"/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lastRenderedPageBreak/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You should, Ethan – many even sing in English. On the other hand, Germans in general work more and are less laid-back than Australians – even in their free time. My host dad was always fixing something in the house or on his car. But then again, we also spent wonderful weekends in the Alp </w:t>
      </w:r>
      <w:proofErr w:type="gramStart"/>
      <w:r w:rsidRPr="00B564C0">
        <w:rPr>
          <w:sz w:val="22"/>
          <w:szCs w:val="22"/>
          <w:lang w:val="en-US"/>
        </w:rPr>
        <w:t>mountains</w:t>
      </w:r>
      <w:proofErr w:type="gramEnd"/>
      <w:r w:rsidRPr="00B564C0">
        <w:rPr>
          <w:sz w:val="22"/>
          <w:szCs w:val="22"/>
          <w:lang w:val="en-US"/>
        </w:rPr>
        <w:t xml:space="preserve"> going</w:t>
      </w:r>
      <w:r>
        <w:rPr>
          <w:lang w:val="en-US"/>
        </w:rPr>
        <w:t xml:space="preserve"> </w:t>
      </w:r>
      <w:r w:rsidRPr="00B564C0">
        <w:rPr>
          <w:sz w:val="22"/>
          <w:szCs w:val="22"/>
          <w:lang w:val="en-US"/>
        </w:rPr>
        <w:t xml:space="preserve">on hikes, skiing or simply enjoying the scenic view. The countryside there is simply breathtaking – especially the ice and snow-covered mountain peaks; something we don’t have in Australia.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Host: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Alisha, now that you are back in Australia, what do you </w:t>
      </w:r>
      <w:proofErr w:type="gramStart"/>
      <w:r w:rsidRPr="00B564C0">
        <w:rPr>
          <w:sz w:val="22"/>
          <w:szCs w:val="22"/>
          <w:lang w:val="en-US"/>
        </w:rPr>
        <w:t>miss</w:t>
      </w:r>
      <w:proofErr w:type="gramEnd"/>
      <w:r w:rsidRPr="00B564C0">
        <w:rPr>
          <w:sz w:val="22"/>
          <w:szCs w:val="22"/>
          <w:lang w:val="en-US"/>
        </w:rPr>
        <w:t xml:space="preserve"> most about Ge</w:t>
      </w:r>
      <w:r w:rsidRPr="00B564C0">
        <w:rPr>
          <w:sz w:val="22"/>
          <w:szCs w:val="22"/>
          <w:lang w:val="en-US"/>
        </w:rPr>
        <w:t>r</w:t>
      </w:r>
      <w:r w:rsidRPr="00B564C0">
        <w:rPr>
          <w:sz w:val="22"/>
          <w:szCs w:val="22"/>
          <w:lang w:val="en-US"/>
        </w:rPr>
        <w:t xml:space="preserve">many?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Alisha: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Besides my German friends? --------- German food – especially Currywurst and Doner Kebab </w:t>
      </w:r>
      <w:r w:rsidRPr="00B564C0">
        <w:rPr>
          <w:i/>
          <w:iCs/>
          <w:sz w:val="22"/>
          <w:szCs w:val="22"/>
          <w:lang w:val="en-US"/>
        </w:rPr>
        <w:t>(laughing</w:t>
      </w:r>
      <w:r w:rsidRPr="00B564C0">
        <w:rPr>
          <w:sz w:val="22"/>
          <w:szCs w:val="22"/>
          <w:lang w:val="en-US"/>
        </w:rPr>
        <w:t xml:space="preserve">). I love meat! </w:t>
      </w:r>
    </w:p>
    <w:p w:rsidR="00217EA8" w:rsidRPr="00B564C0" w:rsidRDefault="00217EA8" w:rsidP="00217EA8">
      <w:pPr>
        <w:pStyle w:val="Default"/>
        <w:ind w:left="1410" w:hanging="1410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 xml:space="preserve">Host: </w:t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Thank you so much for sharing your experiences with us, Alisha. How do you say “Good-bye” in German? </w:t>
      </w:r>
    </w:p>
    <w:p w:rsidR="00217EA8" w:rsidRPr="00B564C0" w:rsidRDefault="00217EA8" w:rsidP="00217EA8">
      <w:pPr>
        <w:pStyle w:val="Default"/>
        <w:rPr>
          <w:sz w:val="22"/>
          <w:szCs w:val="22"/>
          <w:lang w:val="en-US"/>
        </w:rPr>
      </w:pPr>
      <w:r w:rsidRPr="00B564C0">
        <w:rPr>
          <w:sz w:val="22"/>
          <w:szCs w:val="22"/>
          <w:lang w:val="en-US"/>
        </w:rPr>
        <w:t>Alisha: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B564C0">
        <w:rPr>
          <w:sz w:val="22"/>
          <w:szCs w:val="22"/>
          <w:lang w:val="en-US"/>
        </w:rPr>
        <w:t xml:space="preserve">Auf Wiedersehen. </w:t>
      </w:r>
    </w:p>
    <w:p w:rsidR="00217EA8" w:rsidRPr="00C27F00" w:rsidRDefault="00217EA8" w:rsidP="00217EA8">
      <w:pPr>
        <w:ind w:left="1410" w:hanging="1410"/>
        <w:rPr>
          <w:b/>
        </w:rPr>
      </w:pPr>
      <w:r w:rsidRPr="00B564C0">
        <w:rPr>
          <w:lang w:val="en-US"/>
        </w:rPr>
        <w:t xml:space="preserve">Host: </w:t>
      </w:r>
      <w:r>
        <w:rPr>
          <w:lang w:val="en-US"/>
        </w:rPr>
        <w:tab/>
      </w:r>
      <w:r w:rsidRPr="00B564C0">
        <w:rPr>
          <w:lang w:val="en-US"/>
        </w:rPr>
        <w:t>This was today’s edition of Youth Talk. Thanks again to you for coming, Al</w:t>
      </w:r>
      <w:r w:rsidRPr="00B564C0">
        <w:rPr>
          <w:lang w:val="en-US"/>
        </w:rPr>
        <w:t>i</w:t>
      </w:r>
      <w:r w:rsidRPr="00B564C0">
        <w:rPr>
          <w:lang w:val="en-US"/>
        </w:rPr>
        <w:t xml:space="preserve">sha, and thank you out there for listening. </w:t>
      </w:r>
      <w:r w:rsidRPr="00C27F00">
        <w:t xml:space="preserve">And now a word from our </w:t>
      </w:r>
    </w:p>
    <w:p w:rsidR="004C5B2E" w:rsidRDefault="00217EA8" w:rsidP="004C5B2E">
      <w:pPr>
        <w:ind w:left="702" w:firstLine="708"/>
      </w:pPr>
      <w:r w:rsidRPr="00C27F00">
        <w:t>sponsors…</w:t>
      </w:r>
    </w:p>
    <w:p w:rsidR="004C5B2E" w:rsidRDefault="004C5B2E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09B1" w:rsidRDefault="004C09B1" w:rsidP="004C09B1"/>
    <w:p w:rsidR="004C5B2E" w:rsidRDefault="004C09B1" w:rsidP="004C5B2E">
      <w:pPr>
        <w:rPr>
          <w:sz w:val="2"/>
          <w:szCs w:val="2"/>
        </w:rPr>
      </w:pPr>
      <w:r>
        <w:rPr>
          <w:noProof/>
          <w:lang w:eastAsia="de-DE"/>
        </w:rPr>
        <w:t>© LISUM 2016</w:t>
      </w:r>
    </w:p>
    <w:p w:rsidR="008119C5" w:rsidRPr="004C5B2E" w:rsidRDefault="008119C5" w:rsidP="004C5B2E">
      <w:pPr>
        <w:rPr>
          <w:sz w:val="2"/>
          <w:szCs w:val="2"/>
        </w:rPr>
      </w:pPr>
    </w:p>
    <w:sectPr w:rsidR="008119C5" w:rsidRPr="004C5B2E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9B" w:rsidRDefault="00D33E9B" w:rsidP="00837EC7">
      <w:pPr>
        <w:spacing w:line="240" w:lineRule="auto"/>
      </w:pPr>
      <w:r>
        <w:separator/>
      </w:r>
    </w:p>
  </w:endnote>
  <w:endnote w:type="continuationSeparator" w:id="0">
    <w:p w:rsidR="00D33E9B" w:rsidRDefault="00D33E9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E4" w:rsidRDefault="00F229E4" w:rsidP="00937B60">
    <w:pPr>
      <w:pStyle w:val="Fuzeile"/>
      <w:tabs>
        <w:tab w:val="clear" w:pos="4536"/>
      </w:tabs>
      <w:jc w:val="center"/>
    </w:pPr>
    <w:r>
      <w:tab/>
    </w:r>
    <w:r w:rsidR="00F06EB7">
      <w:fldChar w:fldCharType="begin"/>
    </w:r>
    <w:r>
      <w:instrText xml:space="preserve"> </w:instrText>
    </w:r>
    <w:r w:rsidR="00B95B95">
      <w:instrText>PAGE</w:instrText>
    </w:r>
    <w:r>
      <w:instrText xml:space="preserve">   \* MERGEFORMAT </w:instrText>
    </w:r>
    <w:r w:rsidR="00F06EB7">
      <w:fldChar w:fldCharType="separate"/>
    </w:r>
    <w:r w:rsidR="00076312">
      <w:rPr>
        <w:noProof/>
      </w:rPr>
      <w:t>1</w:t>
    </w:r>
    <w:r w:rsidR="00F06EB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9B" w:rsidRDefault="00D33E9B" w:rsidP="00837EC7">
      <w:pPr>
        <w:spacing w:line="240" w:lineRule="auto"/>
      </w:pPr>
      <w:r>
        <w:separator/>
      </w:r>
    </w:p>
  </w:footnote>
  <w:footnote w:type="continuationSeparator" w:id="0">
    <w:p w:rsidR="00D33E9B" w:rsidRDefault="00D33E9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2E" w:rsidRPr="00142DFA" w:rsidRDefault="004C5B2E" w:rsidP="004C5B2E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703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B0F16"/>
    <w:multiLevelType w:val="hybridMultilevel"/>
    <w:tmpl w:val="EC6C82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07A9A"/>
    <w:multiLevelType w:val="hybridMultilevel"/>
    <w:tmpl w:val="8CA8A3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9A"/>
    <w:multiLevelType w:val="hybridMultilevel"/>
    <w:tmpl w:val="CB480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74562"/>
    <w:multiLevelType w:val="hybridMultilevel"/>
    <w:tmpl w:val="2C169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E0F71"/>
    <w:multiLevelType w:val="hybridMultilevel"/>
    <w:tmpl w:val="4078B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F5653"/>
    <w:multiLevelType w:val="hybridMultilevel"/>
    <w:tmpl w:val="E8A6A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13DF1"/>
    <w:multiLevelType w:val="hybridMultilevel"/>
    <w:tmpl w:val="25E4E564"/>
    <w:lvl w:ilvl="0" w:tplc="0407000F">
      <w:start w:val="1"/>
      <w:numFmt w:val="decimal"/>
      <w:lvlText w:val="%1."/>
      <w:lvlJc w:val="left"/>
      <w:pPr>
        <w:ind w:left="796" w:hanging="360"/>
      </w:p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4183F"/>
    <w:multiLevelType w:val="hybridMultilevel"/>
    <w:tmpl w:val="E2FA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8"/>
  </w:num>
  <w:num w:numId="12">
    <w:abstractNumId w:val="1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76312"/>
    <w:rsid w:val="000A2A61"/>
    <w:rsid w:val="000A4B8B"/>
    <w:rsid w:val="001159BA"/>
    <w:rsid w:val="00133562"/>
    <w:rsid w:val="00136172"/>
    <w:rsid w:val="00142DFA"/>
    <w:rsid w:val="00155F4E"/>
    <w:rsid w:val="001634E6"/>
    <w:rsid w:val="00163D87"/>
    <w:rsid w:val="00175669"/>
    <w:rsid w:val="00185133"/>
    <w:rsid w:val="001A6822"/>
    <w:rsid w:val="001A71B9"/>
    <w:rsid w:val="001B043E"/>
    <w:rsid w:val="001C3197"/>
    <w:rsid w:val="001F319E"/>
    <w:rsid w:val="00202F49"/>
    <w:rsid w:val="00206E1F"/>
    <w:rsid w:val="00217EA8"/>
    <w:rsid w:val="002348B8"/>
    <w:rsid w:val="00240D89"/>
    <w:rsid w:val="0026247F"/>
    <w:rsid w:val="00270030"/>
    <w:rsid w:val="00295A29"/>
    <w:rsid w:val="002A04B8"/>
    <w:rsid w:val="002A2294"/>
    <w:rsid w:val="002A6BFD"/>
    <w:rsid w:val="002B14FC"/>
    <w:rsid w:val="002C4DE7"/>
    <w:rsid w:val="002D3F70"/>
    <w:rsid w:val="002D45D7"/>
    <w:rsid w:val="002D55C9"/>
    <w:rsid w:val="002E1682"/>
    <w:rsid w:val="002F3C8C"/>
    <w:rsid w:val="00300E1A"/>
    <w:rsid w:val="00321743"/>
    <w:rsid w:val="00334567"/>
    <w:rsid w:val="00363539"/>
    <w:rsid w:val="00366C8F"/>
    <w:rsid w:val="0038029F"/>
    <w:rsid w:val="00381AB2"/>
    <w:rsid w:val="003E3312"/>
    <w:rsid w:val="003F4234"/>
    <w:rsid w:val="0040115E"/>
    <w:rsid w:val="004072A0"/>
    <w:rsid w:val="00411347"/>
    <w:rsid w:val="00445672"/>
    <w:rsid w:val="00451077"/>
    <w:rsid w:val="00467ABE"/>
    <w:rsid w:val="004851BE"/>
    <w:rsid w:val="004875FA"/>
    <w:rsid w:val="0049671A"/>
    <w:rsid w:val="00496D76"/>
    <w:rsid w:val="004A58AC"/>
    <w:rsid w:val="004C09B1"/>
    <w:rsid w:val="004C485B"/>
    <w:rsid w:val="004C5B2E"/>
    <w:rsid w:val="004C5D31"/>
    <w:rsid w:val="004D2D0D"/>
    <w:rsid w:val="004F3656"/>
    <w:rsid w:val="005052CB"/>
    <w:rsid w:val="00537A2A"/>
    <w:rsid w:val="00545348"/>
    <w:rsid w:val="005960DF"/>
    <w:rsid w:val="005C16CC"/>
    <w:rsid w:val="005D03D5"/>
    <w:rsid w:val="005F1ACA"/>
    <w:rsid w:val="00677337"/>
    <w:rsid w:val="0068691F"/>
    <w:rsid w:val="006A22F8"/>
    <w:rsid w:val="006A599E"/>
    <w:rsid w:val="006C713F"/>
    <w:rsid w:val="006D084A"/>
    <w:rsid w:val="006D5EEA"/>
    <w:rsid w:val="006D609F"/>
    <w:rsid w:val="006D719E"/>
    <w:rsid w:val="007024FB"/>
    <w:rsid w:val="007357B6"/>
    <w:rsid w:val="007621DD"/>
    <w:rsid w:val="007622FF"/>
    <w:rsid w:val="00771C9C"/>
    <w:rsid w:val="00786819"/>
    <w:rsid w:val="007C1D1C"/>
    <w:rsid w:val="007C32D6"/>
    <w:rsid w:val="007C3E2C"/>
    <w:rsid w:val="007D6BA1"/>
    <w:rsid w:val="007F7E4A"/>
    <w:rsid w:val="00800BD6"/>
    <w:rsid w:val="008109AD"/>
    <w:rsid w:val="008119C5"/>
    <w:rsid w:val="00820851"/>
    <w:rsid w:val="00825908"/>
    <w:rsid w:val="00826C8F"/>
    <w:rsid w:val="00837EC7"/>
    <w:rsid w:val="008A1768"/>
    <w:rsid w:val="008A2EA7"/>
    <w:rsid w:val="008B1D49"/>
    <w:rsid w:val="008B6E6E"/>
    <w:rsid w:val="008C0970"/>
    <w:rsid w:val="008E2ED1"/>
    <w:rsid w:val="008E7D45"/>
    <w:rsid w:val="008F78E6"/>
    <w:rsid w:val="00937B60"/>
    <w:rsid w:val="00942FB5"/>
    <w:rsid w:val="00951EC0"/>
    <w:rsid w:val="0095558E"/>
    <w:rsid w:val="00971722"/>
    <w:rsid w:val="0097251F"/>
    <w:rsid w:val="009819AE"/>
    <w:rsid w:val="00984A73"/>
    <w:rsid w:val="00992134"/>
    <w:rsid w:val="009A1D85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E56D0"/>
    <w:rsid w:val="00B542E5"/>
    <w:rsid w:val="00B564C0"/>
    <w:rsid w:val="00B56CEC"/>
    <w:rsid w:val="00B94BD8"/>
    <w:rsid w:val="00B95B95"/>
    <w:rsid w:val="00BC763D"/>
    <w:rsid w:val="00BD0F95"/>
    <w:rsid w:val="00BD2A1A"/>
    <w:rsid w:val="00BD7E76"/>
    <w:rsid w:val="00BE7704"/>
    <w:rsid w:val="00BF22FF"/>
    <w:rsid w:val="00BF2994"/>
    <w:rsid w:val="00BF4880"/>
    <w:rsid w:val="00C01D4F"/>
    <w:rsid w:val="00C16860"/>
    <w:rsid w:val="00C2632F"/>
    <w:rsid w:val="00C27F00"/>
    <w:rsid w:val="00C43E81"/>
    <w:rsid w:val="00C47F23"/>
    <w:rsid w:val="00C6552D"/>
    <w:rsid w:val="00C85E82"/>
    <w:rsid w:val="00CA26AC"/>
    <w:rsid w:val="00CB3549"/>
    <w:rsid w:val="00D0707C"/>
    <w:rsid w:val="00D11444"/>
    <w:rsid w:val="00D226DE"/>
    <w:rsid w:val="00D270BC"/>
    <w:rsid w:val="00D33E9B"/>
    <w:rsid w:val="00D41BE0"/>
    <w:rsid w:val="00D769D8"/>
    <w:rsid w:val="00DB6070"/>
    <w:rsid w:val="00DC2730"/>
    <w:rsid w:val="00DC762A"/>
    <w:rsid w:val="00DD0C30"/>
    <w:rsid w:val="00DE202F"/>
    <w:rsid w:val="00DE666A"/>
    <w:rsid w:val="00DF308F"/>
    <w:rsid w:val="00E12325"/>
    <w:rsid w:val="00E157FC"/>
    <w:rsid w:val="00E16A0E"/>
    <w:rsid w:val="00E16B27"/>
    <w:rsid w:val="00E2605E"/>
    <w:rsid w:val="00E263A6"/>
    <w:rsid w:val="00E3099F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6EB7"/>
    <w:rsid w:val="00F165E6"/>
    <w:rsid w:val="00F17F92"/>
    <w:rsid w:val="00F2257F"/>
    <w:rsid w:val="00F229E4"/>
    <w:rsid w:val="00F372D1"/>
    <w:rsid w:val="00F5187C"/>
    <w:rsid w:val="00F7610D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MittleresRaster11">
    <w:name w:val="Mittleres Raster 11"/>
    <w:uiPriority w:val="99"/>
    <w:semiHidden/>
    <w:rsid w:val="00B94BD8"/>
    <w:rPr>
      <w:color w:val="808080"/>
    </w:rPr>
  </w:style>
  <w:style w:type="paragraph" w:customStyle="1" w:styleId="Default">
    <w:name w:val="Default"/>
    <w:rsid w:val="00E12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hlung">
    <w:name w:val="Aufzählung"/>
    <w:basedOn w:val="Standard"/>
    <w:qFormat/>
    <w:rsid w:val="00C85E82"/>
    <w:pPr>
      <w:numPr>
        <w:numId w:val="17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Kommentarzeichen">
    <w:name w:val="annotation reference"/>
    <w:uiPriority w:val="99"/>
    <w:semiHidden/>
    <w:unhideWhenUsed/>
    <w:rsid w:val="00B56C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CEC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B56CEC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CE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B56CEC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customStyle="1" w:styleId="FarbigeListe-Akzent11">
    <w:name w:val="Farbige Liste - Akzent 11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customStyle="1" w:styleId="MittleresRaster11">
    <w:name w:val="Mittleres Raster 11"/>
    <w:uiPriority w:val="99"/>
    <w:semiHidden/>
    <w:rsid w:val="00B94BD8"/>
    <w:rPr>
      <w:color w:val="808080"/>
    </w:rPr>
  </w:style>
  <w:style w:type="paragraph" w:customStyle="1" w:styleId="Default">
    <w:name w:val="Default"/>
    <w:rsid w:val="00E12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zhlung">
    <w:name w:val="Aufzählung"/>
    <w:basedOn w:val="Standard"/>
    <w:qFormat/>
    <w:rsid w:val="00C85E82"/>
    <w:pPr>
      <w:numPr>
        <w:numId w:val="17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Kommentarzeichen">
    <w:name w:val="annotation reference"/>
    <w:uiPriority w:val="99"/>
    <w:semiHidden/>
    <w:unhideWhenUsed/>
    <w:rsid w:val="00B56C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CEC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B56CEC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CE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B56CEC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404E-AEDE-4D47-9F4D-3901C207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994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2016-02-23T10:25:00Z</dcterms:created>
  <dcterms:modified xsi:type="dcterms:W3CDTF">2016-02-23T10:25:00Z</dcterms:modified>
</cp:coreProperties>
</file>