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BE7D48" w:rsidRDefault="00BE7D48" w:rsidP="00BE7D48">
      <w:pPr>
        <w:suppressAutoHyphens/>
        <w:spacing w:after="120"/>
      </w:pPr>
      <w:r w:rsidRPr="008119C5">
        <w:t>Standardillustrierende Aufgaben veranschaulichen beispielhaft Standards für Lehrkräfte, Lernende und Eltern.</w:t>
      </w:r>
      <w:r>
        <w:t xml:space="preserve"> </w:t>
      </w:r>
    </w:p>
    <w:p w:rsidR="00202F49" w:rsidRPr="008119C5" w:rsidRDefault="00202F49" w:rsidP="00BE7D48">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BE7D48">
            <w:pPr>
              <w:suppressAutoHyphens/>
              <w:spacing w:before="200" w:after="200" w:line="240" w:lineRule="auto"/>
              <w:rPr>
                <w:b/>
              </w:rPr>
            </w:pPr>
            <w:r w:rsidRPr="008119C5">
              <w:rPr>
                <w:b/>
              </w:rPr>
              <w:t>Fach</w:t>
            </w:r>
          </w:p>
        </w:tc>
        <w:tc>
          <w:tcPr>
            <w:tcW w:w="6433" w:type="dxa"/>
            <w:gridSpan w:val="3"/>
          </w:tcPr>
          <w:p w:rsidR="00B94BD8" w:rsidRPr="00202F49" w:rsidRDefault="00992F12" w:rsidP="00BE7D48">
            <w:pPr>
              <w:suppressAutoHyphens/>
              <w:spacing w:before="200" w:after="200" w:line="240" w:lineRule="auto"/>
            </w:pPr>
            <w:r>
              <w:t>Geogra</w:t>
            </w:r>
            <w:r w:rsidR="00821873">
              <w:t>f</w:t>
            </w:r>
            <w:r>
              <w:t>ie</w:t>
            </w:r>
          </w:p>
        </w:tc>
      </w:tr>
      <w:tr w:rsidR="00BE7D48" w:rsidRPr="008119C5" w:rsidTr="00C16860">
        <w:tc>
          <w:tcPr>
            <w:tcW w:w="2802" w:type="dxa"/>
          </w:tcPr>
          <w:p w:rsidR="00BE7D48" w:rsidRPr="008119C5" w:rsidRDefault="00BE7D48" w:rsidP="00BE7D48">
            <w:pPr>
              <w:suppressAutoHyphens/>
              <w:spacing w:before="200" w:after="200" w:line="240" w:lineRule="auto"/>
              <w:rPr>
                <w:b/>
              </w:rPr>
            </w:pPr>
            <w:r w:rsidRPr="009B046A">
              <w:rPr>
                <w:b/>
              </w:rPr>
              <w:t>Name der Aufgabe</w:t>
            </w:r>
          </w:p>
        </w:tc>
        <w:tc>
          <w:tcPr>
            <w:tcW w:w="6433" w:type="dxa"/>
            <w:gridSpan w:val="3"/>
          </w:tcPr>
          <w:p w:rsidR="00BE7D48" w:rsidRDefault="00BE7D48" w:rsidP="00BE7D48">
            <w:pPr>
              <w:suppressAutoHyphens/>
              <w:spacing w:before="200" w:after="200" w:line="240" w:lineRule="auto"/>
            </w:pPr>
            <w:proofErr w:type="spellStart"/>
            <w:r>
              <w:t>Geografie_Kommunizieren_DEF</w:t>
            </w:r>
            <w:proofErr w:type="spellEnd"/>
          </w:p>
        </w:tc>
      </w:tr>
      <w:tr w:rsidR="00B94BD8" w:rsidRPr="008119C5" w:rsidTr="00C16860">
        <w:tc>
          <w:tcPr>
            <w:tcW w:w="2802" w:type="dxa"/>
          </w:tcPr>
          <w:p w:rsidR="00B94BD8" w:rsidRPr="008119C5" w:rsidRDefault="00B94BD8" w:rsidP="00BE7D48">
            <w:pPr>
              <w:suppressAutoHyphens/>
              <w:spacing w:before="200" w:after="200" w:line="240" w:lineRule="auto"/>
              <w:rPr>
                <w:b/>
              </w:rPr>
            </w:pPr>
            <w:r w:rsidRPr="008119C5">
              <w:rPr>
                <w:b/>
              </w:rPr>
              <w:t>Kompetenzbereich</w:t>
            </w:r>
          </w:p>
        </w:tc>
        <w:tc>
          <w:tcPr>
            <w:tcW w:w="6433" w:type="dxa"/>
            <w:gridSpan w:val="3"/>
          </w:tcPr>
          <w:p w:rsidR="00B94BD8" w:rsidRPr="008A1768" w:rsidRDefault="00FC03CD" w:rsidP="00BE7D48">
            <w:pPr>
              <w:suppressAutoHyphens/>
              <w:spacing w:before="200" w:after="200" w:line="240" w:lineRule="auto"/>
            </w:pPr>
            <w:r>
              <w:t>Kommunizieren (</w:t>
            </w:r>
            <w:proofErr w:type="spellStart"/>
            <w:r>
              <w:t>Geo</w:t>
            </w:r>
            <w:proofErr w:type="spellEnd"/>
            <w:r>
              <w:t xml:space="preserve"> 2</w:t>
            </w:r>
            <w:r w:rsidR="00A81EE6">
              <w:t>.4</w:t>
            </w:r>
            <w:r>
              <w:t>)</w:t>
            </w:r>
          </w:p>
        </w:tc>
      </w:tr>
      <w:tr w:rsidR="00B94BD8" w:rsidRPr="008119C5" w:rsidTr="00C16860">
        <w:tc>
          <w:tcPr>
            <w:tcW w:w="2802" w:type="dxa"/>
          </w:tcPr>
          <w:p w:rsidR="00B94BD8" w:rsidRPr="008119C5" w:rsidRDefault="00B94BD8" w:rsidP="00BE7D48">
            <w:pPr>
              <w:tabs>
                <w:tab w:val="left" w:pos="1373"/>
              </w:tabs>
              <w:suppressAutoHyphens/>
              <w:spacing w:before="200" w:after="200" w:line="240" w:lineRule="auto"/>
              <w:rPr>
                <w:b/>
              </w:rPr>
            </w:pPr>
            <w:r w:rsidRPr="008119C5">
              <w:rPr>
                <w:b/>
              </w:rPr>
              <w:t>Kompetenz</w:t>
            </w:r>
          </w:p>
        </w:tc>
        <w:tc>
          <w:tcPr>
            <w:tcW w:w="6433" w:type="dxa"/>
            <w:gridSpan w:val="3"/>
          </w:tcPr>
          <w:p w:rsidR="00FC03CD" w:rsidRPr="008A1768" w:rsidRDefault="00FC03CD" w:rsidP="00BE7D48">
            <w:pPr>
              <w:tabs>
                <w:tab w:val="left" w:pos="1373"/>
              </w:tabs>
              <w:suppressAutoHyphens/>
              <w:spacing w:before="200" w:after="200" w:line="240" w:lineRule="auto"/>
            </w:pPr>
            <w:r>
              <w:t>Geografische Sachverhalte mündlich und schriftlich darstellen</w:t>
            </w:r>
          </w:p>
        </w:tc>
      </w:tr>
      <w:tr w:rsidR="00B94BD8" w:rsidRPr="008119C5" w:rsidTr="00C16860">
        <w:tc>
          <w:tcPr>
            <w:tcW w:w="2802" w:type="dxa"/>
          </w:tcPr>
          <w:p w:rsidR="00B94BD8" w:rsidRPr="008119C5" w:rsidRDefault="008E2ED1" w:rsidP="00BE7D48">
            <w:pPr>
              <w:tabs>
                <w:tab w:val="left" w:pos="1190"/>
              </w:tabs>
              <w:suppressAutoHyphens/>
              <w:spacing w:before="200" w:after="20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373DD5" w:rsidP="00BE7D48">
            <w:pPr>
              <w:tabs>
                <w:tab w:val="left" w:pos="1190"/>
              </w:tabs>
              <w:suppressAutoHyphens/>
              <w:spacing w:before="200" w:after="200" w:line="240" w:lineRule="auto"/>
            </w:pPr>
            <w:r>
              <w:t>D-</w:t>
            </w:r>
            <w:r w:rsidR="00992F12">
              <w:t>E</w:t>
            </w:r>
            <w:r w:rsidR="009347E6">
              <w:t>-F</w:t>
            </w:r>
          </w:p>
        </w:tc>
      </w:tr>
      <w:tr w:rsidR="008E2ED1" w:rsidRPr="008119C5" w:rsidTr="00C16860">
        <w:tc>
          <w:tcPr>
            <w:tcW w:w="2802" w:type="dxa"/>
          </w:tcPr>
          <w:p w:rsidR="008E2ED1" w:rsidRDefault="008E2ED1" w:rsidP="00BE7D48">
            <w:pPr>
              <w:tabs>
                <w:tab w:val="left" w:pos="1190"/>
              </w:tabs>
              <w:suppressAutoHyphens/>
              <w:spacing w:before="200" w:after="200" w:line="240" w:lineRule="auto"/>
              <w:rPr>
                <w:b/>
              </w:rPr>
            </w:pPr>
            <w:r w:rsidRPr="008119C5">
              <w:rPr>
                <w:b/>
              </w:rPr>
              <w:t>Standard</w:t>
            </w:r>
          </w:p>
        </w:tc>
        <w:tc>
          <w:tcPr>
            <w:tcW w:w="6433" w:type="dxa"/>
            <w:gridSpan w:val="3"/>
          </w:tcPr>
          <w:p w:rsidR="00D824D8" w:rsidRPr="009347E6" w:rsidRDefault="0036565A" w:rsidP="00BE7D48">
            <w:pPr>
              <w:tabs>
                <w:tab w:val="left" w:pos="1190"/>
              </w:tabs>
              <w:suppressAutoHyphens/>
              <w:spacing w:before="200" w:after="200" w:line="240" w:lineRule="auto"/>
            </w:pPr>
            <w:r>
              <w:t xml:space="preserve">Die Schülerinnen und Schüler können </w:t>
            </w:r>
            <w:r w:rsidR="009347E6">
              <w:t>informierende Texte (z. B. Bericht, Protokoll) zu geografischen Sachverhalten unter Nutzung von geeigneten Textmustern und -bausteinen in ihren Zusammenhängen geordnet schreiben</w:t>
            </w:r>
            <w:r w:rsidR="00FC03CD">
              <w:t>.</w:t>
            </w:r>
            <w:r w:rsidR="009347E6">
              <w:t xml:space="preserve"> </w:t>
            </w:r>
          </w:p>
        </w:tc>
      </w:tr>
      <w:tr w:rsidR="00B94BD8" w:rsidRPr="008119C5" w:rsidTr="00C16860">
        <w:tc>
          <w:tcPr>
            <w:tcW w:w="2802" w:type="dxa"/>
            <w:tcBorders>
              <w:bottom w:val="single" w:sz="4" w:space="0" w:color="808080" w:themeColor="background1" w:themeShade="80"/>
            </w:tcBorders>
          </w:tcPr>
          <w:p w:rsidR="00B94BD8" w:rsidRPr="008119C5" w:rsidRDefault="00B94BD8" w:rsidP="00BE7D48">
            <w:pPr>
              <w:tabs>
                <w:tab w:val="left" w:pos="1190"/>
              </w:tabs>
              <w:suppressAutoHyphens/>
              <w:spacing w:before="200" w:after="200" w:line="240" w:lineRule="auto"/>
              <w:rPr>
                <w:b/>
              </w:rPr>
            </w:pPr>
            <w:r>
              <w:rPr>
                <w:b/>
              </w:rPr>
              <w:t>Themenfeld</w:t>
            </w:r>
          </w:p>
        </w:tc>
        <w:tc>
          <w:tcPr>
            <w:tcW w:w="6433" w:type="dxa"/>
            <w:gridSpan w:val="3"/>
            <w:tcBorders>
              <w:bottom w:val="single" w:sz="4" w:space="0" w:color="808080" w:themeColor="background1" w:themeShade="80"/>
            </w:tcBorders>
          </w:tcPr>
          <w:p w:rsidR="00B94BD8" w:rsidRDefault="009347E6" w:rsidP="00BE7D48">
            <w:pPr>
              <w:tabs>
                <w:tab w:val="left" w:pos="1190"/>
              </w:tabs>
              <w:suppressAutoHyphens/>
              <w:spacing w:before="200" w:after="200" w:line="240" w:lineRule="auto"/>
            </w:pPr>
            <w:r>
              <w:t>3.5 Umgang mit Ressourcen</w:t>
            </w:r>
          </w:p>
          <w:p w:rsidR="00964E15" w:rsidRPr="00202F49" w:rsidRDefault="00FC03CD" w:rsidP="00BE7D48">
            <w:pPr>
              <w:tabs>
                <w:tab w:val="left" w:pos="1190"/>
              </w:tabs>
              <w:suppressAutoHyphens/>
              <w:spacing w:before="200" w:after="200" w:line="240" w:lineRule="auto"/>
            </w:pPr>
            <w:r>
              <w:t xml:space="preserve">Inhalt: </w:t>
            </w:r>
            <w:r w:rsidR="009347E6">
              <w:t>Ressourcenkonflikte</w:t>
            </w:r>
          </w:p>
        </w:tc>
      </w:tr>
      <w:tr w:rsidR="005C16CC" w:rsidRPr="008119C5" w:rsidTr="00C16860">
        <w:tc>
          <w:tcPr>
            <w:tcW w:w="2802" w:type="dxa"/>
            <w:tcBorders>
              <w:bottom w:val="single" w:sz="4" w:space="0" w:color="808080" w:themeColor="background1" w:themeShade="80"/>
            </w:tcBorders>
          </w:tcPr>
          <w:p w:rsidR="005C16CC" w:rsidRDefault="005C16CC" w:rsidP="00BE7D48">
            <w:pPr>
              <w:tabs>
                <w:tab w:val="left" w:pos="1190"/>
              </w:tabs>
              <w:suppressAutoHyphens/>
              <w:spacing w:before="200" w:after="20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B45CA9" w:rsidRDefault="00FD6B50" w:rsidP="00BE7D48">
            <w:pPr>
              <w:tabs>
                <w:tab w:val="left" w:pos="1190"/>
              </w:tabs>
              <w:suppressAutoHyphens/>
              <w:spacing w:before="200" w:after="200" w:line="240" w:lineRule="auto"/>
            </w:pPr>
            <w:r>
              <w:t xml:space="preserve">BC Sprachbildung </w:t>
            </w:r>
          </w:p>
          <w:p w:rsidR="00B45CA9" w:rsidRPr="0021665E" w:rsidRDefault="008F6EE8" w:rsidP="00BE7D48">
            <w:pPr>
              <w:tabs>
                <w:tab w:val="left" w:pos="1190"/>
              </w:tabs>
              <w:suppressAutoHyphens/>
              <w:spacing w:before="200" w:after="200" w:line="240" w:lineRule="auto"/>
            </w:pPr>
            <w:r>
              <w:t>ÜT Demokratie</w:t>
            </w:r>
            <w:r w:rsidR="0091277D">
              <w:t>bildung</w:t>
            </w:r>
            <w:r>
              <w:t xml:space="preserve"> (3.</w:t>
            </w:r>
            <w:r w:rsidR="0091277D">
              <w:t>3</w:t>
            </w:r>
            <w:r>
              <w:t>)</w:t>
            </w:r>
            <w:r w:rsidR="00B45CA9">
              <w:br/>
              <w:t>ÜT Nachhaltige Entwicklung/Lernen in globalen Zusammen</w:t>
            </w:r>
            <w:r w:rsidR="00783B45">
              <w:t>hängen (3.1</w:t>
            </w:r>
            <w:r w:rsidR="0091277D">
              <w:t>1</w:t>
            </w:r>
            <w:r w:rsidR="00B45CA9">
              <w:t>)</w:t>
            </w:r>
          </w:p>
        </w:tc>
      </w:tr>
      <w:tr w:rsidR="005C16CC" w:rsidRPr="008119C5" w:rsidTr="00C16860">
        <w:tc>
          <w:tcPr>
            <w:tcW w:w="2802" w:type="dxa"/>
            <w:tcBorders>
              <w:bottom w:val="single" w:sz="4" w:space="0" w:color="808080" w:themeColor="background1" w:themeShade="80"/>
            </w:tcBorders>
          </w:tcPr>
          <w:p w:rsidR="005C16CC" w:rsidRDefault="004851BE" w:rsidP="00BE7D48">
            <w:pPr>
              <w:tabs>
                <w:tab w:val="left" w:pos="1190"/>
              </w:tabs>
              <w:suppressAutoHyphens/>
              <w:spacing w:before="200" w:after="20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B160ED" w:rsidRPr="00B160ED" w:rsidRDefault="00B160ED" w:rsidP="00BE7D48">
            <w:pPr>
              <w:suppressAutoHyphens/>
              <w:autoSpaceDE w:val="0"/>
              <w:autoSpaceDN w:val="0"/>
              <w:adjustRightInd w:val="0"/>
              <w:spacing w:before="200" w:after="200" w:line="240" w:lineRule="auto"/>
            </w:pPr>
            <w:r>
              <w:rPr>
                <w:rFonts w:ascii="ArialMT" w:hAnsi="ArialMT" w:cs="ArialMT"/>
                <w:lang w:eastAsia="de-DE"/>
              </w:rPr>
              <w:t xml:space="preserve">Schülerinnen und Schüler können im Text Gedanken verbinden, den Text einleiten und abschließen und dabei vorgegebene Wörter oder Textbausteine verwenden </w:t>
            </w:r>
            <w:r>
              <w:t>(BC 1.3.4 Schreibstrategien anwenden – D)</w:t>
            </w:r>
          </w:p>
        </w:tc>
      </w:tr>
      <w:tr w:rsidR="00F5187C" w:rsidRPr="008119C5" w:rsidTr="00D824D8">
        <w:trPr>
          <w:cantSplit/>
        </w:trPr>
        <w:tc>
          <w:tcPr>
            <w:tcW w:w="9235" w:type="dxa"/>
            <w:gridSpan w:val="4"/>
            <w:tcBorders>
              <w:bottom w:val="nil"/>
            </w:tcBorders>
          </w:tcPr>
          <w:p w:rsidR="00F5187C" w:rsidRPr="008119C5" w:rsidRDefault="00F5187C" w:rsidP="00BE7D48">
            <w:pPr>
              <w:suppressAutoHyphens/>
              <w:spacing w:before="200" w:after="20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BE7D48">
            <w:pPr>
              <w:tabs>
                <w:tab w:val="left" w:pos="840"/>
              </w:tabs>
              <w:suppressAutoHyphens/>
              <w:spacing w:before="200" w:after="20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BE7D48">
            <w:pPr>
              <w:suppressAutoHyphens/>
              <w:spacing w:before="200" w:after="200" w:line="240" w:lineRule="auto"/>
              <w:rPr>
                <w:b/>
              </w:rPr>
            </w:pPr>
            <w:r w:rsidRPr="008119C5">
              <w:rPr>
                <w:b/>
              </w:rPr>
              <w:t>halboffen</w:t>
            </w:r>
            <w:r w:rsidR="00334567">
              <w:rPr>
                <w:b/>
              </w:rPr>
              <w:tab/>
            </w:r>
            <w:r w:rsidR="00967136">
              <w:rPr>
                <w:b/>
              </w:rPr>
              <w:t>x</w:t>
            </w:r>
          </w:p>
        </w:tc>
        <w:tc>
          <w:tcPr>
            <w:tcW w:w="3079" w:type="dxa"/>
            <w:tcBorders>
              <w:top w:val="nil"/>
              <w:left w:val="nil"/>
              <w:bottom w:val="single" w:sz="4" w:space="0" w:color="808080" w:themeColor="background1" w:themeShade="80"/>
            </w:tcBorders>
          </w:tcPr>
          <w:p w:rsidR="00F17F92" w:rsidRPr="001E7774" w:rsidRDefault="00F17F92" w:rsidP="00BE7D48">
            <w:pPr>
              <w:tabs>
                <w:tab w:val="left" w:pos="1735"/>
              </w:tabs>
              <w:suppressAutoHyphens/>
              <w:spacing w:before="200" w:after="200" w:line="240" w:lineRule="auto"/>
              <w:rPr>
                <w:b/>
              </w:rPr>
            </w:pPr>
            <w:r w:rsidRPr="001E7774">
              <w:rPr>
                <w:b/>
              </w:rPr>
              <w:t>geschlossen</w:t>
            </w:r>
            <w:r w:rsidR="00334567" w:rsidRPr="001E7774">
              <w:rPr>
                <w:b/>
              </w:rPr>
              <w:tab/>
            </w:r>
          </w:p>
        </w:tc>
      </w:tr>
      <w:tr w:rsidR="00F17F92" w:rsidRPr="008119C5" w:rsidTr="00142DFA">
        <w:trPr>
          <w:trHeight w:val="269"/>
        </w:trPr>
        <w:tc>
          <w:tcPr>
            <w:tcW w:w="9235" w:type="dxa"/>
            <w:gridSpan w:val="4"/>
            <w:tcBorders>
              <w:bottom w:val="nil"/>
            </w:tcBorders>
          </w:tcPr>
          <w:p w:rsidR="00F17F92" w:rsidRPr="008119C5" w:rsidRDefault="00F17F92" w:rsidP="00BE7D48">
            <w:pPr>
              <w:suppressAutoHyphens/>
              <w:spacing w:before="200" w:after="20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BE7D48">
            <w:pPr>
              <w:suppressAutoHyphens/>
              <w:spacing w:before="200" w:after="20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BE7D48">
            <w:pPr>
              <w:suppressAutoHyphens/>
              <w:spacing w:before="200" w:after="20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BE7D48">
            <w:pPr>
              <w:suppressAutoHyphens/>
              <w:spacing w:before="200" w:after="20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BE7D48">
            <w:pPr>
              <w:suppressAutoHyphens/>
              <w:spacing w:before="200" w:after="200" w:line="240" w:lineRule="auto"/>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0E3B81" w:rsidP="00BE7D48">
            <w:pPr>
              <w:suppressAutoHyphens/>
              <w:spacing w:before="200" w:after="200" w:line="240" w:lineRule="auto"/>
            </w:pPr>
            <w:proofErr w:type="spellStart"/>
            <w:r>
              <w:t>Coltan</w:t>
            </w:r>
            <w:proofErr w:type="spellEnd"/>
            <w:r>
              <w:t>, Rohstoffreichtum</w:t>
            </w:r>
            <w:r w:rsidR="00D24520">
              <w:t>, Kolonialismus, Kongo</w:t>
            </w:r>
          </w:p>
        </w:tc>
      </w:tr>
    </w:tbl>
    <w:p w:rsidR="00937B60" w:rsidRDefault="00937B60" w:rsidP="00BE7D48">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572A23">
      <w:pPr>
        <w:suppressAutoHyphens/>
        <w:spacing w:line="240" w:lineRule="auto"/>
        <w:rPr>
          <w:b/>
          <w:sz w:val="24"/>
          <w:szCs w:val="24"/>
        </w:rPr>
      </w:pPr>
      <w:r w:rsidRPr="00F5187C">
        <w:rPr>
          <w:b/>
          <w:sz w:val="24"/>
          <w:szCs w:val="24"/>
        </w:rPr>
        <w:lastRenderedPageBreak/>
        <w:t xml:space="preserve">Aufgabe und Material: </w:t>
      </w:r>
    </w:p>
    <w:p w:rsidR="0036565A" w:rsidRDefault="0036565A" w:rsidP="00572A23">
      <w:pPr>
        <w:suppressAutoHyphens/>
        <w:spacing w:line="240" w:lineRule="auto"/>
        <w:rPr>
          <w:b/>
        </w:rPr>
      </w:pPr>
    </w:p>
    <w:p w:rsidR="0036565A" w:rsidRDefault="0036565A" w:rsidP="00572A23">
      <w:pPr>
        <w:suppressAutoHyphens/>
        <w:spacing w:line="240" w:lineRule="auto"/>
        <w:rPr>
          <w:b/>
        </w:rPr>
      </w:pPr>
      <w:r>
        <w:rPr>
          <w:b/>
        </w:rPr>
        <w:t>Aufgabe:</w:t>
      </w:r>
    </w:p>
    <w:p w:rsidR="00572A23" w:rsidRDefault="00572A23" w:rsidP="00572A23">
      <w:pPr>
        <w:suppressAutoHyphens/>
        <w:spacing w:line="240" w:lineRule="auto"/>
        <w:rPr>
          <w:b/>
        </w:rPr>
      </w:pPr>
    </w:p>
    <w:p w:rsidR="00875DAC" w:rsidRDefault="00B323EF" w:rsidP="00572A23">
      <w:pPr>
        <w:suppressAutoHyphens/>
        <w:spacing w:line="240" w:lineRule="auto"/>
        <w:jc w:val="both"/>
        <w:rPr>
          <w:bCs/>
        </w:rPr>
      </w:pPr>
      <w:r w:rsidRPr="00B323EF">
        <w:rPr>
          <w:bCs/>
        </w:rPr>
        <w:t>Er</w:t>
      </w:r>
      <w:r w:rsidR="00702CA6">
        <w:rPr>
          <w:bCs/>
        </w:rPr>
        <w:t>läutere</w:t>
      </w:r>
      <w:r w:rsidRPr="00B323EF">
        <w:rPr>
          <w:bCs/>
        </w:rPr>
        <w:t xml:space="preserve"> die Frage, ob </w:t>
      </w:r>
      <w:r>
        <w:rPr>
          <w:bCs/>
        </w:rPr>
        <w:t xml:space="preserve">der Kongo (a) von </w:t>
      </w:r>
      <w:proofErr w:type="spellStart"/>
      <w:r>
        <w:rPr>
          <w:bCs/>
        </w:rPr>
        <w:t>Coltan</w:t>
      </w:r>
      <w:proofErr w:type="spellEnd"/>
      <w:r>
        <w:rPr>
          <w:bCs/>
        </w:rPr>
        <w:t xml:space="preserve"> abhängig ist und (b) </w:t>
      </w:r>
      <w:r w:rsidR="00544F1D">
        <w:rPr>
          <w:bCs/>
        </w:rPr>
        <w:t>ob die Industrieländer</w:t>
      </w:r>
      <w:r>
        <w:rPr>
          <w:bCs/>
        </w:rPr>
        <w:t xml:space="preserve"> auch v</w:t>
      </w:r>
      <w:r w:rsidR="00875DAC">
        <w:rPr>
          <w:bCs/>
        </w:rPr>
        <w:t xml:space="preserve">om Kongo </w:t>
      </w:r>
      <w:r w:rsidR="0091277D">
        <w:rPr>
          <w:bCs/>
        </w:rPr>
        <w:t xml:space="preserve">als </w:t>
      </w:r>
      <w:proofErr w:type="spellStart"/>
      <w:r w:rsidR="0091277D">
        <w:rPr>
          <w:bCs/>
        </w:rPr>
        <w:t>Coltan</w:t>
      </w:r>
      <w:proofErr w:type="spellEnd"/>
      <w:r w:rsidR="0091277D">
        <w:rPr>
          <w:bCs/>
        </w:rPr>
        <w:t xml:space="preserve">-Lieferant </w:t>
      </w:r>
      <w:r w:rsidR="00875DAC">
        <w:rPr>
          <w:bCs/>
        </w:rPr>
        <w:t>abhängig sind</w:t>
      </w:r>
      <w:r>
        <w:rPr>
          <w:bCs/>
        </w:rPr>
        <w:t xml:space="preserve"> (M 1)</w:t>
      </w:r>
      <w:r w:rsidR="00875DAC">
        <w:rPr>
          <w:bCs/>
        </w:rPr>
        <w:t>.</w:t>
      </w:r>
    </w:p>
    <w:p w:rsidR="00875DAC" w:rsidRPr="00875DAC" w:rsidRDefault="00132721" w:rsidP="00572A23">
      <w:pPr>
        <w:pStyle w:val="Listenabsatz"/>
        <w:numPr>
          <w:ilvl w:val="0"/>
          <w:numId w:val="15"/>
        </w:numPr>
        <w:suppressAutoHyphens/>
        <w:spacing w:line="240" w:lineRule="auto"/>
        <w:jc w:val="both"/>
        <w:rPr>
          <w:bCs/>
        </w:rPr>
      </w:pPr>
      <w:r>
        <w:rPr>
          <w:bCs/>
        </w:rPr>
        <w:t>Lies dazu die Textbausteine</w:t>
      </w:r>
      <w:r w:rsidR="00875DAC" w:rsidRPr="00875DAC">
        <w:rPr>
          <w:bCs/>
        </w:rPr>
        <w:t xml:space="preserve"> und ordne sie sinnvoll an.</w:t>
      </w:r>
    </w:p>
    <w:p w:rsidR="00B323EF" w:rsidRPr="00875DAC" w:rsidRDefault="00FC03CD" w:rsidP="00572A23">
      <w:pPr>
        <w:pStyle w:val="Listenabsatz"/>
        <w:numPr>
          <w:ilvl w:val="0"/>
          <w:numId w:val="15"/>
        </w:numPr>
        <w:suppressAutoHyphens/>
        <w:spacing w:line="240" w:lineRule="auto"/>
        <w:jc w:val="both"/>
        <w:rPr>
          <w:bCs/>
        </w:rPr>
      </w:pPr>
      <w:r>
        <w:rPr>
          <w:bCs/>
        </w:rPr>
        <w:t>Gib dem Text</w:t>
      </w:r>
      <w:r w:rsidR="00EC56B7">
        <w:rPr>
          <w:bCs/>
        </w:rPr>
        <w:t xml:space="preserve"> eine Überschrift und f</w:t>
      </w:r>
      <w:r w:rsidR="00B323EF" w:rsidRPr="00875DAC">
        <w:rPr>
          <w:bCs/>
        </w:rPr>
        <w:t xml:space="preserve">üge </w:t>
      </w:r>
      <w:r w:rsidR="00FF7818">
        <w:rPr>
          <w:bCs/>
        </w:rPr>
        <w:t>drei</w:t>
      </w:r>
      <w:r w:rsidR="00B163D7">
        <w:rPr>
          <w:bCs/>
        </w:rPr>
        <w:t xml:space="preserve"> </w:t>
      </w:r>
      <w:r w:rsidR="00B323EF" w:rsidRPr="00875DAC">
        <w:rPr>
          <w:bCs/>
        </w:rPr>
        <w:t xml:space="preserve">aussagekräftige </w:t>
      </w:r>
      <w:r w:rsidR="00B163D7">
        <w:rPr>
          <w:bCs/>
        </w:rPr>
        <w:t>Zwischenü</w:t>
      </w:r>
      <w:r w:rsidR="00B323EF" w:rsidRPr="00875DAC">
        <w:rPr>
          <w:bCs/>
        </w:rPr>
        <w:t>berschriften in den Text ein.</w:t>
      </w:r>
    </w:p>
    <w:p w:rsidR="00875DAC" w:rsidRPr="00875DAC" w:rsidRDefault="00702CA6" w:rsidP="00572A23">
      <w:pPr>
        <w:pStyle w:val="Listenabsatz"/>
        <w:numPr>
          <w:ilvl w:val="0"/>
          <w:numId w:val="15"/>
        </w:numPr>
        <w:suppressAutoHyphens/>
        <w:spacing w:line="240" w:lineRule="auto"/>
        <w:jc w:val="both"/>
        <w:rPr>
          <w:bCs/>
        </w:rPr>
      </w:pPr>
      <w:r>
        <w:rPr>
          <w:bCs/>
        </w:rPr>
        <w:t>Schreibe eine Zusammenfassung und v</w:t>
      </w:r>
      <w:r w:rsidR="00875DAC" w:rsidRPr="00875DAC">
        <w:rPr>
          <w:bCs/>
        </w:rPr>
        <w:t>erfasse ein eigenes Fazit.</w:t>
      </w:r>
    </w:p>
    <w:p w:rsidR="008F6EE8" w:rsidRDefault="008F6EE8" w:rsidP="00572A23">
      <w:pPr>
        <w:suppressAutoHyphens/>
        <w:spacing w:line="240" w:lineRule="auto"/>
        <w:rPr>
          <w:b/>
        </w:rPr>
      </w:pPr>
    </w:p>
    <w:p w:rsidR="00572A23" w:rsidRDefault="00572A23" w:rsidP="00572A23">
      <w:pPr>
        <w:suppressAutoHyphens/>
        <w:spacing w:line="240" w:lineRule="auto"/>
        <w:rPr>
          <w:b/>
        </w:rPr>
      </w:pPr>
    </w:p>
    <w:p w:rsidR="00916A92" w:rsidRDefault="007A78F6" w:rsidP="00572A23">
      <w:pPr>
        <w:suppressAutoHyphens/>
        <w:spacing w:line="240" w:lineRule="auto"/>
        <w:rPr>
          <w:b/>
        </w:rPr>
      </w:pPr>
      <w:r>
        <w:rPr>
          <w:b/>
        </w:rPr>
        <w:t>Aufgabe mit Hilfestellung (</w:t>
      </w:r>
      <w:proofErr w:type="spellStart"/>
      <w:r>
        <w:rPr>
          <w:b/>
        </w:rPr>
        <w:t>S</w:t>
      </w:r>
      <w:r w:rsidR="00916A92">
        <w:rPr>
          <w:b/>
        </w:rPr>
        <w:t>caffolding</w:t>
      </w:r>
      <w:proofErr w:type="spellEnd"/>
      <w:r w:rsidR="00916A92">
        <w:rPr>
          <w:b/>
        </w:rPr>
        <w:t>):</w:t>
      </w:r>
    </w:p>
    <w:p w:rsidR="00572A23" w:rsidRDefault="00572A23" w:rsidP="00572A23">
      <w:pPr>
        <w:suppressAutoHyphens/>
        <w:spacing w:line="240" w:lineRule="auto"/>
        <w:rPr>
          <w:b/>
        </w:rPr>
      </w:pPr>
    </w:p>
    <w:p w:rsidR="004B5214" w:rsidRDefault="00B323EF" w:rsidP="00572A23">
      <w:pPr>
        <w:suppressAutoHyphens/>
        <w:spacing w:line="240" w:lineRule="auto"/>
        <w:jc w:val="both"/>
        <w:rPr>
          <w:bCs/>
        </w:rPr>
      </w:pPr>
      <w:r w:rsidRPr="00B323EF">
        <w:rPr>
          <w:bCs/>
        </w:rPr>
        <w:t>Er</w:t>
      </w:r>
      <w:r w:rsidR="00702CA6">
        <w:rPr>
          <w:bCs/>
        </w:rPr>
        <w:t>läutere</w:t>
      </w:r>
      <w:r w:rsidRPr="00B323EF">
        <w:rPr>
          <w:bCs/>
        </w:rPr>
        <w:t xml:space="preserve"> die Frage, ob </w:t>
      </w:r>
      <w:r>
        <w:rPr>
          <w:bCs/>
        </w:rPr>
        <w:t xml:space="preserve">der Kongo (a) von </w:t>
      </w:r>
      <w:proofErr w:type="spellStart"/>
      <w:r>
        <w:rPr>
          <w:bCs/>
        </w:rPr>
        <w:t>Coltan</w:t>
      </w:r>
      <w:proofErr w:type="spellEnd"/>
      <w:r>
        <w:rPr>
          <w:bCs/>
        </w:rPr>
        <w:t xml:space="preserve"> abhängig ist und (b) </w:t>
      </w:r>
      <w:r w:rsidR="00B343C9">
        <w:rPr>
          <w:bCs/>
        </w:rPr>
        <w:t>ob die Industrieländer</w:t>
      </w:r>
      <w:r>
        <w:rPr>
          <w:bCs/>
        </w:rPr>
        <w:t xml:space="preserve"> auch vom K</w:t>
      </w:r>
      <w:r w:rsidR="00875DAC">
        <w:rPr>
          <w:bCs/>
        </w:rPr>
        <w:t xml:space="preserve">ongo </w:t>
      </w:r>
      <w:r w:rsidR="0091277D">
        <w:rPr>
          <w:bCs/>
        </w:rPr>
        <w:t xml:space="preserve">als </w:t>
      </w:r>
      <w:proofErr w:type="spellStart"/>
      <w:r w:rsidR="0091277D">
        <w:rPr>
          <w:bCs/>
        </w:rPr>
        <w:t>Coltan</w:t>
      </w:r>
      <w:proofErr w:type="spellEnd"/>
      <w:r w:rsidR="0091277D">
        <w:rPr>
          <w:bCs/>
        </w:rPr>
        <w:t xml:space="preserve">-Lieferant </w:t>
      </w:r>
      <w:r w:rsidR="00875DAC">
        <w:rPr>
          <w:bCs/>
        </w:rPr>
        <w:t xml:space="preserve">abhängig sind </w:t>
      </w:r>
      <w:r>
        <w:rPr>
          <w:bCs/>
        </w:rPr>
        <w:t>(M 1).</w:t>
      </w:r>
    </w:p>
    <w:p w:rsidR="00B323EF" w:rsidRPr="00702CA6" w:rsidRDefault="00132721" w:rsidP="00572A23">
      <w:pPr>
        <w:pStyle w:val="Listenabsatz"/>
        <w:numPr>
          <w:ilvl w:val="0"/>
          <w:numId w:val="17"/>
        </w:numPr>
        <w:suppressAutoHyphens/>
        <w:spacing w:line="240" w:lineRule="auto"/>
        <w:jc w:val="both"/>
        <w:rPr>
          <w:bCs/>
        </w:rPr>
      </w:pPr>
      <w:r w:rsidRPr="00702CA6">
        <w:rPr>
          <w:bCs/>
        </w:rPr>
        <w:t>Lies dazu die Textbausteine</w:t>
      </w:r>
      <w:r w:rsidR="00875DAC" w:rsidRPr="00702CA6">
        <w:rPr>
          <w:bCs/>
        </w:rPr>
        <w:t xml:space="preserve"> </w:t>
      </w:r>
      <w:r w:rsidR="00EC56B7">
        <w:rPr>
          <w:bCs/>
        </w:rPr>
        <w:t xml:space="preserve">und </w:t>
      </w:r>
      <w:r w:rsidR="00875DAC" w:rsidRPr="00702CA6">
        <w:rPr>
          <w:bCs/>
        </w:rPr>
        <w:t xml:space="preserve">ordne sie folgenden </w:t>
      </w:r>
      <w:r w:rsidR="00EC56B7">
        <w:rPr>
          <w:bCs/>
        </w:rPr>
        <w:t>Zwischenü</w:t>
      </w:r>
      <w:r w:rsidR="00B323EF" w:rsidRPr="00702CA6">
        <w:rPr>
          <w:bCs/>
        </w:rPr>
        <w:t>berschriften zu:</w:t>
      </w:r>
    </w:p>
    <w:p w:rsidR="00B323EF" w:rsidRDefault="00702CA6" w:rsidP="00572A23">
      <w:pPr>
        <w:tabs>
          <w:tab w:val="left" w:pos="3449"/>
        </w:tabs>
        <w:suppressAutoHyphens/>
        <w:spacing w:line="240" w:lineRule="auto"/>
        <w:rPr>
          <w:bCs/>
        </w:rPr>
      </w:pPr>
      <w:r>
        <w:rPr>
          <w:bCs/>
        </w:rPr>
        <w:t xml:space="preserve">           </w:t>
      </w:r>
      <w:r w:rsidR="00B323EF">
        <w:rPr>
          <w:bCs/>
        </w:rPr>
        <w:t>1. Einleitung</w:t>
      </w:r>
      <w:r w:rsidR="00967136">
        <w:rPr>
          <w:bCs/>
        </w:rPr>
        <w:tab/>
      </w:r>
    </w:p>
    <w:p w:rsidR="00B323EF" w:rsidRDefault="00702CA6" w:rsidP="00572A23">
      <w:pPr>
        <w:suppressAutoHyphens/>
        <w:spacing w:line="240" w:lineRule="auto"/>
        <w:rPr>
          <w:bCs/>
        </w:rPr>
      </w:pPr>
      <w:r>
        <w:rPr>
          <w:bCs/>
        </w:rPr>
        <w:t xml:space="preserve">           </w:t>
      </w:r>
      <w:r w:rsidR="00B323EF">
        <w:rPr>
          <w:bCs/>
        </w:rPr>
        <w:t>2. Historische Entwicklung des Rohstoffabbaus</w:t>
      </w:r>
    </w:p>
    <w:p w:rsidR="00EC56B7" w:rsidRPr="00EC56B7" w:rsidRDefault="00702CA6" w:rsidP="00572A23">
      <w:pPr>
        <w:suppressAutoHyphens/>
        <w:spacing w:line="240" w:lineRule="auto"/>
        <w:rPr>
          <w:bCs/>
        </w:rPr>
      </w:pPr>
      <w:r>
        <w:rPr>
          <w:bCs/>
        </w:rPr>
        <w:t xml:space="preserve">           </w:t>
      </w:r>
      <w:r w:rsidR="004C5504">
        <w:rPr>
          <w:bCs/>
        </w:rPr>
        <w:t>3. Die Bedeutung des</w:t>
      </w:r>
      <w:r w:rsidR="00B323EF" w:rsidRPr="00967136">
        <w:rPr>
          <w:bCs/>
        </w:rPr>
        <w:t xml:space="preserve"> </w:t>
      </w:r>
      <w:proofErr w:type="spellStart"/>
      <w:r w:rsidR="00B323EF" w:rsidRPr="00967136">
        <w:rPr>
          <w:bCs/>
        </w:rPr>
        <w:t>Coltan</w:t>
      </w:r>
      <w:proofErr w:type="spellEnd"/>
      <w:r w:rsidR="00B323EF" w:rsidRPr="00967136">
        <w:rPr>
          <w:bCs/>
        </w:rPr>
        <w:t>-Abbaus im Kongo</w:t>
      </w:r>
    </w:p>
    <w:p w:rsidR="00EC56B7" w:rsidRDefault="00FC03CD" w:rsidP="00572A23">
      <w:pPr>
        <w:pStyle w:val="Listenabsatz"/>
        <w:numPr>
          <w:ilvl w:val="0"/>
          <w:numId w:val="17"/>
        </w:numPr>
        <w:suppressAutoHyphens/>
        <w:spacing w:line="240" w:lineRule="auto"/>
        <w:jc w:val="both"/>
        <w:rPr>
          <w:bCs/>
        </w:rPr>
      </w:pPr>
      <w:r>
        <w:rPr>
          <w:bCs/>
        </w:rPr>
        <w:t>Gib dem Text e</w:t>
      </w:r>
      <w:r w:rsidR="00EC56B7">
        <w:rPr>
          <w:bCs/>
        </w:rPr>
        <w:t>ine Überschrift.</w:t>
      </w:r>
    </w:p>
    <w:p w:rsidR="00702CA6" w:rsidRPr="00702CA6" w:rsidRDefault="00702CA6" w:rsidP="00572A23">
      <w:pPr>
        <w:pStyle w:val="Listenabsatz"/>
        <w:numPr>
          <w:ilvl w:val="0"/>
          <w:numId w:val="17"/>
        </w:numPr>
        <w:suppressAutoHyphens/>
        <w:spacing w:line="240" w:lineRule="auto"/>
        <w:jc w:val="both"/>
        <w:rPr>
          <w:bCs/>
        </w:rPr>
      </w:pPr>
      <w:r>
        <w:rPr>
          <w:bCs/>
        </w:rPr>
        <w:t>Schreibe eine Zusammenfassung und v</w:t>
      </w:r>
      <w:r w:rsidRPr="00875DAC">
        <w:rPr>
          <w:bCs/>
        </w:rPr>
        <w:t>erfasse ein eigenes Fazit.</w:t>
      </w:r>
    </w:p>
    <w:p w:rsidR="00702CA6" w:rsidRDefault="00702CA6" w:rsidP="00572A23">
      <w:pPr>
        <w:suppressAutoHyphens/>
        <w:spacing w:line="240" w:lineRule="auto"/>
        <w:rPr>
          <w:bCs/>
        </w:rPr>
      </w:pPr>
    </w:p>
    <w:p w:rsidR="00875DAC" w:rsidRDefault="00875DAC" w:rsidP="00572A23">
      <w:pPr>
        <w:suppressAutoHyphens/>
        <w:spacing w:line="240" w:lineRule="auto"/>
        <w:rPr>
          <w:b/>
        </w:rPr>
      </w:pPr>
    </w:p>
    <w:p w:rsidR="004B5214" w:rsidRDefault="004B5214"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BE7D48" w:rsidRDefault="00BE7D48"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572A23" w:rsidP="00572A23">
      <w:pPr>
        <w:suppressAutoHyphens/>
        <w:spacing w:line="240" w:lineRule="auto"/>
        <w:rPr>
          <w:b/>
        </w:rPr>
      </w:pPr>
    </w:p>
    <w:p w:rsidR="00572A23" w:rsidRDefault="00BE7D48" w:rsidP="00572A23">
      <w:pPr>
        <w:suppressAutoHyphens/>
        <w:spacing w:line="240" w:lineRule="auto"/>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E05424">
        <w:t>, 2017</w:t>
      </w:r>
    </w:p>
    <w:p w:rsidR="00CC6E7D" w:rsidRPr="00572A23" w:rsidRDefault="00572A23" w:rsidP="00572A23">
      <w:pPr>
        <w:suppressAutoHyphens/>
        <w:spacing w:line="240" w:lineRule="auto"/>
        <w:rPr>
          <w:b/>
          <w:sz w:val="24"/>
          <w:szCs w:val="24"/>
        </w:rPr>
      </w:pPr>
      <w:r w:rsidRPr="00572A23">
        <w:rPr>
          <w:b/>
          <w:sz w:val="24"/>
          <w:szCs w:val="24"/>
        </w:rPr>
        <w:lastRenderedPageBreak/>
        <w:t>M</w:t>
      </w:r>
      <w:r w:rsidR="00CC6E7D" w:rsidRPr="00572A23">
        <w:rPr>
          <w:b/>
          <w:sz w:val="24"/>
          <w:szCs w:val="24"/>
        </w:rPr>
        <w:t>aterial:</w:t>
      </w:r>
    </w:p>
    <w:p w:rsidR="00222A08" w:rsidRDefault="00222A08" w:rsidP="00572A23">
      <w:pPr>
        <w:suppressAutoHyphens/>
        <w:spacing w:line="240" w:lineRule="auto"/>
        <w:rPr>
          <w:b/>
        </w:rPr>
      </w:pPr>
    </w:p>
    <w:p w:rsidR="00734CAC" w:rsidRPr="00CD3849" w:rsidRDefault="00A94DD5" w:rsidP="00572A23">
      <w:pPr>
        <w:suppressAutoHyphens/>
        <w:spacing w:line="240" w:lineRule="auto"/>
        <w:rPr>
          <w:bCs/>
        </w:rPr>
      </w:pPr>
      <w:r>
        <w:rPr>
          <w:b/>
        </w:rPr>
        <w:t>M 1</w:t>
      </w:r>
      <w:r>
        <w:rPr>
          <w:b/>
        </w:rPr>
        <w:tab/>
      </w:r>
    </w:p>
    <w:p w:rsidR="00222A08" w:rsidRDefault="00222A0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9347E6" w:rsidRPr="009F2D04" w:rsidTr="002775E8">
        <w:tc>
          <w:tcPr>
            <w:tcW w:w="9210" w:type="dxa"/>
          </w:tcPr>
          <w:p w:rsidR="009347E6" w:rsidRPr="00222A08" w:rsidRDefault="00BC1ECB" w:rsidP="00572A23">
            <w:pPr>
              <w:suppressAutoHyphens/>
              <w:spacing w:line="240" w:lineRule="auto"/>
              <w:rPr>
                <w:bCs/>
              </w:rPr>
            </w:pPr>
            <w:r w:rsidRPr="00222A08">
              <w:rPr>
                <w:bCs/>
              </w:rPr>
              <w:t xml:space="preserve">Die heutige Republik Kongo ist seit 1960 unabhängig. Davor war sie von 1908 bis 1960 eine Kolonie des Staates Belgien. Dem Staat war die Kolonie vom belgischen König </w:t>
            </w:r>
            <w:r w:rsidR="00D8553D" w:rsidRPr="00222A08">
              <w:rPr>
                <w:bCs/>
              </w:rPr>
              <w:t xml:space="preserve">verkauft </w:t>
            </w:r>
            <w:r w:rsidRPr="00222A08">
              <w:rPr>
                <w:bCs/>
              </w:rPr>
              <w:t xml:space="preserve"> wor</w:t>
            </w:r>
            <w:r w:rsidR="004C5504" w:rsidRPr="00222A08">
              <w:rPr>
                <w:bCs/>
              </w:rPr>
              <w:t>den, in dessen Privatbesitz</w:t>
            </w:r>
            <w:r w:rsidRPr="00222A08">
              <w:rPr>
                <w:bCs/>
              </w:rPr>
              <w:t xml:space="preserve"> das Land </w:t>
            </w:r>
            <w:r w:rsidR="004C5504" w:rsidRPr="00222A08">
              <w:rPr>
                <w:bCs/>
              </w:rPr>
              <w:t xml:space="preserve">sich </w:t>
            </w:r>
            <w:r w:rsidRPr="00222A08">
              <w:rPr>
                <w:bCs/>
              </w:rPr>
              <w:t>seit 1885 befand.</w:t>
            </w:r>
          </w:p>
        </w:tc>
      </w:tr>
    </w:tbl>
    <w:p w:rsidR="00222A08" w:rsidRDefault="00222A08" w:rsidP="00572A23">
      <w:pPr>
        <w:suppressAutoHyphens/>
        <w:spacing w:line="240" w:lineRule="auto"/>
      </w:pPr>
    </w:p>
    <w:tbl>
      <w:tblPr>
        <w:tblStyle w:val="Tabellengitternetz"/>
        <w:tblpPr w:leftFromText="141" w:rightFromText="141" w:vertAnchor="text" w:horzAnchor="margin" w:tblpY="33"/>
        <w:tblW w:w="0" w:type="auto"/>
        <w:tblCellMar>
          <w:top w:w="85" w:type="dxa"/>
          <w:left w:w="85" w:type="dxa"/>
          <w:bottom w:w="85" w:type="dxa"/>
          <w:right w:w="85" w:type="dxa"/>
        </w:tblCellMar>
        <w:tblLook w:val="04A0"/>
      </w:tblPr>
      <w:tblGrid>
        <w:gridCol w:w="9210"/>
      </w:tblGrid>
      <w:tr w:rsidR="00222A08" w:rsidRPr="009F2D04" w:rsidTr="00222A08">
        <w:tc>
          <w:tcPr>
            <w:tcW w:w="9210" w:type="dxa"/>
          </w:tcPr>
          <w:p w:rsidR="00222A08" w:rsidRPr="00222A08" w:rsidRDefault="00222A08" w:rsidP="00572A23">
            <w:pPr>
              <w:suppressAutoHyphens/>
              <w:spacing w:line="240" w:lineRule="auto"/>
              <w:jc w:val="both"/>
              <w:rPr>
                <w:bCs/>
              </w:rPr>
            </w:pPr>
            <w:r w:rsidRPr="00222A08">
              <w:rPr>
                <w:bCs/>
              </w:rPr>
              <w:t xml:space="preserve">Zur Finanzierung von Rebellengruppen eignet sich </w:t>
            </w:r>
            <w:proofErr w:type="spellStart"/>
            <w:r w:rsidRPr="00222A08">
              <w:rPr>
                <w:bCs/>
              </w:rPr>
              <w:t>Coltan</w:t>
            </w:r>
            <w:proofErr w:type="spellEnd"/>
            <w:r w:rsidRPr="00222A08">
              <w:rPr>
                <w:bCs/>
              </w:rPr>
              <w:t xml:space="preserve"> besonders, weil es dezentral und mit wenigen Mitteln abgebaut werden kann. Da es sich bereits in kleinen Mengen wirtschaftlich verwenden lässt, ist es ein geeignetes Schmuggelgut.</w:t>
            </w:r>
          </w:p>
        </w:tc>
      </w:tr>
    </w:tbl>
    <w:p w:rsidR="00222A08" w:rsidRDefault="00222A0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9347E6" w:rsidRPr="009F2D04" w:rsidTr="002775E8">
        <w:tc>
          <w:tcPr>
            <w:tcW w:w="9210" w:type="dxa"/>
          </w:tcPr>
          <w:p w:rsidR="009347E6" w:rsidRPr="00222A08" w:rsidRDefault="005C5D96" w:rsidP="007A78F6">
            <w:pPr>
              <w:suppressAutoHyphens/>
              <w:spacing w:line="240" w:lineRule="auto"/>
              <w:jc w:val="both"/>
              <w:rPr>
                <w:bCs/>
              </w:rPr>
            </w:pPr>
            <w:r w:rsidRPr="00222A08">
              <w:rPr>
                <w:bCs/>
              </w:rPr>
              <w:t xml:space="preserve">Der belgische Staat behielt die Praxis der </w:t>
            </w:r>
            <w:r w:rsidR="00325A3C" w:rsidRPr="00222A08">
              <w:rPr>
                <w:bCs/>
              </w:rPr>
              <w:t>Gewinnung</w:t>
            </w:r>
            <w:r w:rsidRPr="00222A08">
              <w:rPr>
                <w:bCs/>
              </w:rPr>
              <w:t xml:space="preserve"> von Kautschuk und Palmöl zwar bei, förderte aber vor allem den Bergbau. In der im </w:t>
            </w:r>
            <w:r w:rsidR="005825F1" w:rsidRPr="00222A08">
              <w:rPr>
                <w:bCs/>
              </w:rPr>
              <w:t>östlichen K</w:t>
            </w:r>
            <w:r w:rsidRPr="00222A08">
              <w:rPr>
                <w:bCs/>
              </w:rPr>
              <w:t xml:space="preserve">ongo gelegenen </w:t>
            </w:r>
            <w:r w:rsidR="004C5504" w:rsidRPr="00222A08">
              <w:rPr>
                <w:bCs/>
              </w:rPr>
              <w:t>Provinz</w:t>
            </w:r>
            <w:r w:rsidRPr="00222A08">
              <w:rPr>
                <w:bCs/>
              </w:rPr>
              <w:t xml:space="preserve"> </w:t>
            </w:r>
            <w:proofErr w:type="spellStart"/>
            <w:r w:rsidRPr="00222A08">
              <w:rPr>
                <w:bCs/>
              </w:rPr>
              <w:t>Katanga</w:t>
            </w:r>
            <w:proofErr w:type="spellEnd"/>
            <w:r w:rsidRPr="00222A08">
              <w:rPr>
                <w:bCs/>
              </w:rPr>
              <w:t xml:space="preserve"> wurden Ku</w:t>
            </w:r>
            <w:r w:rsidR="007A78F6">
              <w:rPr>
                <w:bCs/>
              </w:rPr>
              <w:t>pferminen errichtet, die knapp zehn</w:t>
            </w:r>
            <w:r w:rsidRPr="00222A08">
              <w:rPr>
                <w:bCs/>
              </w:rPr>
              <w:t xml:space="preserve"> Prozent des Kupfers weltweit produzierten. Andere Unternehmen investierten in die Ausbeutung von Ko</w:t>
            </w:r>
            <w:r w:rsidR="002B4C76" w:rsidRPr="00222A08">
              <w:rPr>
                <w:bCs/>
              </w:rPr>
              <w:t>balt, Zink, Diamanten und Uran.</w:t>
            </w:r>
          </w:p>
        </w:tc>
      </w:tr>
    </w:tbl>
    <w:p w:rsidR="00222A08" w:rsidRDefault="00222A0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E06BC5" w:rsidRPr="009F2D04" w:rsidTr="002775E8">
        <w:tc>
          <w:tcPr>
            <w:tcW w:w="9210" w:type="dxa"/>
          </w:tcPr>
          <w:p w:rsidR="00E06BC5" w:rsidRPr="00222A08" w:rsidRDefault="00184572" w:rsidP="00572A23">
            <w:pPr>
              <w:suppressAutoHyphens/>
              <w:spacing w:line="240" w:lineRule="auto"/>
              <w:jc w:val="both"/>
              <w:rPr>
                <w:bCs/>
              </w:rPr>
            </w:pPr>
            <w:r w:rsidRPr="00222A08">
              <w:rPr>
                <w:bCs/>
              </w:rPr>
              <w:t>1960 wurde der Kongo unabhängig</w:t>
            </w:r>
            <w:r w:rsidR="00AD1F41" w:rsidRPr="00222A08">
              <w:rPr>
                <w:bCs/>
              </w:rPr>
              <w:t>:</w:t>
            </w:r>
            <w:r w:rsidRPr="00222A08">
              <w:rPr>
                <w:bCs/>
              </w:rPr>
              <w:t xml:space="preserve"> Belgien erkannte, dass es das große Land </w:t>
            </w:r>
            <w:r w:rsidR="006741EE" w:rsidRPr="00222A08">
              <w:rPr>
                <w:bCs/>
              </w:rPr>
              <w:t>nicht mehr regieren konnte, da sich die politischen Kräfte im Kongo zunehmend gegen Belgien richteten. D</w:t>
            </w:r>
            <w:r w:rsidR="00E06BC5" w:rsidRPr="00222A08">
              <w:rPr>
                <w:bCs/>
              </w:rPr>
              <w:t>ie nach der Unabhängigkeit von Belgien 1960 entstandene demokratische Republik Kongo blieb politisch instabil</w:t>
            </w:r>
            <w:r w:rsidR="00AD1F41" w:rsidRPr="00222A08">
              <w:rPr>
                <w:bCs/>
              </w:rPr>
              <w:t>.</w:t>
            </w:r>
            <w:r w:rsidR="00BE38D8" w:rsidRPr="00222A08">
              <w:rPr>
                <w:bCs/>
              </w:rPr>
              <w:t xml:space="preserve"> </w:t>
            </w:r>
            <w:r w:rsidR="00AD1F41" w:rsidRPr="00222A08">
              <w:rPr>
                <w:bCs/>
              </w:rPr>
              <w:t>D</w:t>
            </w:r>
            <w:r w:rsidR="00BE38D8" w:rsidRPr="00222A08">
              <w:rPr>
                <w:bCs/>
              </w:rPr>
              <w:t xml:space="preserve">ie zeitweilige Abspaltung der rohstoffreichen Provinz </w:t>
            </w:r>
            <w:proofErr w:type="spellStart"/>
            <w:r w:rsidR="00BE38D8" w:rsidRPr="00222A08">
              <w:rPr>
                <w:bCs/>
              </w:rPr>
              <w:t>Katanga</w:t>
            </w:r>
            <w:proofErr w:type="spellEnd"/>
            <w:r w:rsidR="00BE38D8" w:rsidRPr="00222A08">
              <w:rPr>
                <w:bCs/>
              </w:rPr>
              <w:t xml:space="preserve"> und Bürgerkrieg füh</w:t>
            </w:r>
            <w:r w:rsidR="00F15361" w:rsidRPr="00222A08">
              <w:rPr>
                <w:bCs/>
              </w:rPr>
              <w:t>r</w:t>
            </w:r>
            <w:r w:rsidR="00BE38D8" w:rsidRPr="00222A08">
              <w:rPr>
                <w:bCs/>
              </w:rPr>
              <w:t>ten</w:t>
            </w:r>
            <w:r w:rsidR="00F15361" w:rsidRPr="00222A08">
              <w:rPr>
                <w:bCs/>
              </w:rPr>
              <w:t xml:space="preserve"> zu über einer Million Toten</w:t>
            </w:r>
            <w:r w:rsidR="00E06BC5" w:rsidRPr="00222A08">
              <w:rPr>
                <w:bCs/>
              </w:rPr>
              <w:t xml:space="preserve">. </w:t>
            </w:r>
            <w:r w:rsidR="00F15361" w:rsidRPr="00222A08">
              <w:rPr>
                <w:bCs/>
              </w:rPr>
              <w:t xml:space="preserve">Nachdem </w:t>
            </w:r>
            <w:r w:rsidR="00AD1F41" w:rsidRPr="00222A08">
              <w:rPr>
                <w:bCs/>
              </w:rPr>
              <w:t xml:space="preserve">es </w:t>
            </w:r>
            <w:r w:rsidR="002019B0" w:rsidRPr="00222A08">
              <w:rPr>
                <w:bCs/>
              </w:rPr>
              <w:t xml:space="preserve">1965 nach </w:t>
            </w:r>
            <w:r w:rsidR="00AD1F41" w:rsidRPr="00222A08">
              <w:rPr>
                <w:bCs/>
              </w:rPr>
              <w:t xml:space="preserve">den Parlamentswahlen </w:t>
            </w:r>
            <w:r w:rsidR="002019B0" w:rsidRPr="00222A08">
              <w:rPr>
                <w:bCs/>
              </w:rPr>
              <w:t>n</w:t>
            </w:r>
            <w:r w:rsidR="00E06BC5" w:rsidRPr="00222A08">
              <w:rPr>
                <w:bCs/>
              </w:rPr>
              <w:t>icht gelang</w:t>
            </w:r>
            <w:r w:rsidR="002019B0" w:rsidRPr="00222A08">
              <w:rPr>
                <w:bCs/>
              </w:rPr>
              <w:t>, eine Regierung zu bilden</w:t>
            </w:r>
            <w:r w:rsidR="007A78F6">
              <w:rPr>
                <w:bCs/>
              </w:rPr>
              <w:t>,</w:t>
            </w:r>
            <w:r w:rsidR="00E06BC5" w:rsidRPr="00222A08">
              <w:rPr>
                <w:bCs/>
              </w:rPr>
              <w:t xml:space="preserve"> putschte sich der Armeechef </w:t>
            </w:r>
            <w:r w:rsidR="00E06BC5" w:rsidRPr="00222A08">
              <w:t>Joseph-Désiré Mobutu an die Macht</w:t>
            </w:r>
            <w:r w:rsidR="002019B0" w:rsidRPr="00222A08">
              <w:t>.</w:t>
            </w:r>
            <w:r w:rsidR="00AD1F41" w:rsidRPr="00222A08">
              <w:t xml:space="preserve"> </w:t>
            </w:r>
            <w:r w:rsidR="00E06BC5" w:rsidRPr="00222A08">
              <w:rPr>
                <w:bCs/>
              </w:rPr>
              <w:t>In den ersten zehn Jahren seiner Herrschaft nutzte Mobutu die Einnahmen aus dem Rohstoffexport, um seine Macht durch Geldzahlungen an politische Gegner ebenso wie an die jeweiligen Mitglieder der Regierung zu festigen. Allerdings investierte er weder in einen funktionierenden Verwaltungsapparat noch in eine durchsetzungsfähige Armee.</w:t>
            </w:r>
          </w:p>
        </w:tc>
      </w:tr>
    </w:tbl>
    <w:p w:rsidR="00222A08" w:rsidRDefault="00222A08" w:rsidP="00572A23">
      <w:pPr>
        <w:suppressAutoHyphens/>
        <w:spacing w:line="240" w:lineRule="auto"/>
      </w:pPr>
    </w:p>
    <w:tbl>
      <w:tblPr>
        <w:tblStyle w:val="Tabellengitternetz"/>
        <w:tblpPr w:leftFromText="141" w:rightFromText="141" w:vertAnchor="text" w:horzAnchor="margin" w:tblpY="25"/>
        <w:tblW w:w="0" w:type="auto"/>
        <w:tblCellMar>
          <w:top w:w="85" w:type="dxa"/>
          <w:left w:w="85" w:type="dxa"/>
          <w:bottom w:w="85" w:type="dxa"/>
          <w:right w:w="85" w:type="dxa"/>
        </w:tblCellMar>
        <w:tblLook w:val="04A0"/>
      </w:tblPr>
      <w:tblGrid>
        <w:gridCol w:w="9210"/>
      </w:tblGrid>
      <w:tr w:rsidR="00222A08" w:rsidRPr="009F2D04" w:rsidTr="00222A08">
        <w:tc>
          <w:tcPr>
            <w:tcW w:w="9210" w:type="dxa"/>
          </w:tcPr>
          <w:p w:rsidR="00222A08" w:rsidRPr="00222A08" w:rsidRDefault="00FD3282" w:rsidP="00572A23">
            <w:pPr>
              <w:suppressAutoHyphens/>
              <w:spacing w:line="240" w:lineRule="auto"/>
              <w:jc w:val="both"/>
              <w:rPr>
                <w:bCs/>
              </w:rPr>
            </w:pPr>
            <w:r w:rsidRPr="00FD3282">
              <w:rPr>
                <w:b/>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459.55pt;margin-top:85.7pt;width:41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" filled="f" stroked="f">
                  <v:textbox style="mso-fit-shape-to-text:t">
                    <w:txbxContent>
                      <w:p w:rsidR="00222A08" w:rsidRDefault="00222A08" w:rsidP="00222A08">
                        <w:r>
                          <w:rPr>
                            <w:noProof/>
                            <w:lang w:eastAsia="de-DE"/>
                          </w:rPr>
                          <w:drawing>
                            <wp:inline distT="0" distB="0" distL="0" distR="0">
                              <wp:extent cx="350874" cy="208460"/>
                              <wp:effectExtent l="0" t="0" r="0" b="127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e.g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742" cy="209570"/>
                                      </a:xfrm>
                                      <a:prstGeom prst="rect">
                                        <a:avLst/>
                                      </a:prstGeom>
                                    </pic:spPr>
                                  </pic:pic>
                                </a:graphicData>
                              </a:graphic>
                            </wp:inline>
                          </w:drawing>
                        </w:r>
                      </w:p>
                    </w:txbxContent>
                  </v:textbox>
                </v:shape>
              </w:pict>
            </w:r>
            <w:r w:rsidR="00222A08" w:rsidRPr="00222A08">
              <w:rPr>
                <w:bCs/>
              </w:rPr>
              <w:t xml:space="preserve">Schätzungen zufolge verfügt die Demokratische Republik Kongo über etwa 80 Prozent der weltweit bekannten </w:t>
            </w:r>
            <w:proofErr w:type="spellStart"/>
            <w:r w:rsidR="00222A08" w:rsidRPr="00222A08">
              <w:rPr>
                <w:bCs/>
              </w:rPr>
              <w:t>Coltan</w:t>
            </w:r>
            <w:proofErr w:type="spellEnd"/>
            <w:r w:rsidR="00222A08" w:rsidRPr="00222A08">
              <w:rPr>
                <w:bCs/>
              </w:rPr>
              <w:t xml:space="preserve">-Vorkommen. Das im </w:t>
            </w:r>
            <w:proofErr w:type="spellStart"/>
            <w:r w:rsidR="00222A08" w:rsidRPr="00222A08">
              <w:rPr>
                <w:bCs/>
              </w:rPr>
              <w:t>Coltan</w:t>
            </w:r>
            <w:proofErr w:type="spellEnd"/>
            <w:r w:rsidR="00222A08" w:rsidRPr="00222A08">
              <w:rPr>
                <w:bCs/>
              </w:rPr>
              <w:t xml:space="preserve"> enthaltene Tantal wird in der Herstellung von Kondensatoren gebraucht. Es erlaubt den Konstrukteuren sehr leistungsfähige und sehr kleine Kondensatoren zu bauen, die die Herstellung von immer kleineren Handys, Laptops, Spielkonsolen und Digitalkameras ermöglichen. </w:t>
            </w:r>
          </w:p>
        </w:tc>
      </w:tr>
    </w:tbl>
    <w:p w:rsidR="00222A08" w:rsidRDefault="00222A0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E06BC5" w:rsidRPr="009F2D04" w:rsidTr="002775E8">
        <w:tc>
          <w:tcPr>
            <w:tcW w:w="9210" w:type="dxa"/>
          </w:tcPr>
          <w:p w:rsidR="00E06BC5" w:rsidRPr="00222A08" w:rsidRDefault="00E06BC5" w:rsidP="00572A23">
            <w:pPr>
              <w:suppressAutoHyphens/>
              <w:spacing w:line="240" w:lineRule="auto"/>
              <w:jc w:val="both"/>
              <w:rPr>
                <w:bCs/>
              </w:rPr>
            </w:pPr>
            <w:r w:rsidRPr="00222A08">
              <w:rPr>
                <w:bCs/>
              </w:rPr>
              <w:t xml:space="preserve">Neben den anderen Rohstoffen wurde in der Demokratischen Republik Kongo auch </w:t>
            </w:r>
            <w:proofErr w:type="spellStart"/>
            <w:r w:rsidRPr="00222A08">
              <w:rPr>
                <w:bCs/>
              </w:rPr>
              <w:t>Coltan</w:t>
            </w:r>
            <w:proofErr w:type="spellEnd"/>
            <w:r w:rsidRPr="00222A08">
              <w:rPr>
                <w:bCs/>
              </w:rPr>
              <w:t xml:space="preserve"> gefördert. Der eigentliche </w:t>
            </w:r>
            <w:proofErr w:type="spellStart"/>
            <w:r w:rsidRPr="00222A08">
              <w:rPr>
                <w:bCs/>
              </w:rPr>
              <w:t>Coltan</w:t>
            </w:r>
            <w:proofErr w:type="spellEnd"/>
            <w:r w:rsidRPr="00222A08">
              <w:rPr>
                <w:bCs/>
              </w:rPr>
              <w:t xml:space="preserve">-Boom setzte aber erst um die Jahrtausendwende ein. Zu diesem Zeitpunkt hatte die belgisch-kongolesische Firma </w:t>
            </w:r>
            <w:proofErr w:type="spellStart"/>
            <w:r w:rsidRPr="00222A08">
              <w:rPr>
                <w:bCs/>
              </w:rPr>
              <w:t>Sominki</w:t>
            </w:r>
            <w:proofErr w:type="spellEnd"/>
            <w:r w:rsidRPr="00222A08">
              <w:rPr>
                <w:bCs/>
              </w:rPr>
              <w:t xml:space="preserve"> ihre </w:t>
            </w:r>
            <w:proofErr w:type="spellStart"/>
            <w:r w:rsidRPr="00222A08">
              <w:rPr>
                <w:bCs/>
              </w:rPr>
              <w:t>Coltan</w:t>
            </w:r>
            <w:proofErr w:type="spellEnd"/>
            <w:r w:rsidRPr="00222A08">
              <w:rPr>
                <w:bCs/>
              </w:rPr>
              <w:t>-Produktion bereits eingestellt und Schürfkonzessionen an Einzelpersonen abgegeben.</w:t>
            </w:r>
          </w:p>
        </w:tc>
      </w:tr>
    </w:tbl>
    <w:p w:rsidR="00222A08" w:rsidRDefault="00222A0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9C6E2B" w:rsidRPr="009F2D04" w:rsidTr="002775E8">
        <w:tc>
          <w:tcPr>
            <w:tcW w:w="9210" w:type="dxa"/>
          </w:tcPr>
          <w:p w:rsidR="009C6E2B" w:rsidRPr="00222A08" w:rsidRDefault="009B059D" w:rsidP="00572A23">
            <w:pPr>
              <w:suppressAutoHyphens/>
              <w:spacing w:line="240" w:lineRule="auto"/>
              <w:jc w:val="both"/>
              <w:rPr>
                <w:bCs/>
              </w:rPr>
            </w:pPr>
            <w:r w:rsidRPr="00222A08">
              <w:rPr>
                <w:bCs/>
              </w:rPr>
              <w:t>200</w:t>
            </w:r>
            <w:r w:rsidRPr="00222A08">
              <w:t xml:space="preserve">8 wurden weltweit 1195 t </w:t>
            </w:r>
            <w:proofErr w:type="spellStart"/>
            <w:r w:rsidRPr="00222A08">
              <w:t>Coltan</w:t>
            </w:r>
            <w:proofErr w:type="spellEnd"/>
            <w:r w:rsidRPr="00222A08">
              <w:t xml:space="preserve"> gefördert</w:t>
            </w:r>
            <w:r w:rsidR="00374271" w:rsidRPr="00222A08">
              <w:t>. Der größte Produzent mit gut einem Drittel der Förderung (</w:t>
            </w:r>
            <w:r w:rsidRPr="00222A08">
              <w:t>435 t</w:t>
            </w:r>
            <w:r w:rsidR="00374271" w:rsidRPr="00222A08">
              <w:t>) war Australien. Ein knappes Drittel der Produktion (383 t) stammte aus der</w:t>
            </w:r>
            <w:r w:rsidRPr="00222A08">
              <w:t xml:space="preserve"> Demokratische</w:t>
            </w:r>
            <w:r w:rsidR="00374271" w:rsidRPr="00222A08">
              <w:t>n</w:t>
            </w:r>
            <w:r w:rsidRPr="00222A08">
              <w:t xml:space="preserve"> Republik Kon</w:t>
            </w:r>
            <w:r w:rsidR="00374271" w:rsidRPr="00222A08">
              <w:t xml:space="preserve">go. Weitere nennenswerte Förderungen fanden in </w:t>
            </w:r>
            <w:r w:rsidRPr="00222A08">
              <w:t xml:space="preserve">Brasilien </w:t>
            </w:r>
            <w:r w:rsidR="00374271" w:rsidRPr="00222A08">
              <w:t>(</w:t>
            </w:r>
            <w:r w:rsidRPr="00222A08">
              <w:t>180 t</w:t>
            </w:r>
            <w:r w:rsidR="00374271" w:rsidRPr="00222A08">
              <w:t>)</w:t>
            </w:r>
            <w:r w:rsidRPr="00222A08">
              <w:t xml:space="preserve">, </w:t>
            </w:r>
            <w:r w:rsidR="00374271" w:rsidRPr="00222A08">
              <w:t xml:space="preserve">in </w:t>
            </w:r>
            <w:r w:rsidRPr="00222A08">
              <w:t xml:space="preserve">Äthiopien </w:t>
            </w:r>
            <w:r w:rsidR="00374271" w:rsidRPr="00222A08">
              <w:t>(</w:t>
            </w:r>
            <w:r w:rsidRPr="00222A08">
              <w:t>77 t</w:t>
            </w:r>
            <w:r w:rsidR="00374271" w:rsidRPr="00222A08">
              <w:t>)</w:t>
            </w:r>
            <w:r w:rsidRPr="00222A08">
              <w:t>,</w:t>
            </w:r>
            <w:r w:rsidR="00374271" w:rsidRPr="00222A08">
              <w:t xml:space="preserve"> in</w:t>
            </w:r>
            <w:r w:rsidRPr="00222A08">
              <w:t xml:space="preserve"> Kana</w:t>
            </w:r>
            <w:r w:rsidR="00374271" w:rsidRPr="00222A08">
              <w:t>da (45 t) und</w:t>
            </w:r>
            <w:r w:rsidRPr="00222A08">
              <w:t xml:space="preserve"> </w:t>
            </w:r>
            <w:r w:rsidR="00374271" w:rsidRPr="00222A08">
              <w:t xml:space="preserve">in </w:t>
            </w:r>
            <w:r w:rsidRPr="00222A08">
              <w:t xml:space="preserve">Ruanda </w:t>
            </w:r>
            <w:r w:rsidR="00374271" w:rsidRPr="00222A08">
              <w:t>(</w:t>
            </w:r>
            <w:r w:rsidRPr="00222A08">
              <w:t>42 t</w:t>
            </w:r>
            <w:r w:rsidR="00374271" w:rsidRPr="00222A08">
              <w:t>) statt.</w:t>
            </w:r>
          </w:p>
        </w:tc>
      </w:tr>
    </w:tbl>
    <w:p w:rsidR="00222A08" w:rsidRDefault="00222A08"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tbl>
      <w:tblPr>
        <w:tblStyle w:val="Tabellengitternetz"/>
        <w:tblpPr w:leftFromText="141" w:rightFromText="141" w:vertAnchor="text" w:horzAnchor="margin" w:tblpY="11"/>
        <w:tblW w:w="0" w:type="auto"/>
        <w:tblCellMar>
          <w:top w:w="85" w:type="dxa"/>
          <w:left w:w="85" w:type="dxa"/>
          <w:bottom w:w="85" w:type="dxa"/>
          <w:right w:w="85" w:type="dxa"/>
        </w:tblCellMar>
        <w:tblLook w:val="04A0"/>
      </w:tblPr>
      <w:tblGrid>
        <w:gridCol w:w="9210"/>
      </w:tblGrid>
      <w:tr w:rsidR="00222A08" w:rsidRPr="009F2D04" w:rsidTr="00222A08">
        <w:tc>
          <w:tcPr>
            <w:tcW w:w="9210" w:type="dxa"/>
          </w:tcPr>
          <w:p w:rsidR="00222A08" w:rsidRPr="00222A08" w:rsidRDefault="00222A08" w:rsidP="00572A23">
            <w:pPr>
              <w:suppressAutoHyphens/>
              <w:spacing w:line="240" w:lineRule="auto"/>
              <w:jc w:val="both"/>
              <w:rPr>
                <w:bCs/>
              </w:rPr>
            </w:pPr>
            <w:r w:rsidRPr="00222A08">
              <w:rPr>
                <w:bCs/>
              </w:rPr>
              <w:lastRenderedPageBreak/>
              <w:t>Als zu Beginn der 1970er Jahre die Rohstoffpreise einbrachen und die Einnahmen sanken, geriet das Machtsystem in Gefahr. Da Mobuto die Einnahmen auch nicht in die Unternehmen investierte, verfielen sie zunehmend und produzierten immer weniger. Insbesondere der Osten des Landes gelangte zunehmend unter die Kontrolle wechselnder in- und ausländischer Gruppierungen.</w:t>
            </w:r>
          </w:p>
        </w:tc>
      </w:tr>
    </w:tbl>
    <w:p w:rsidR="00222A08" w:rsidRDefault="00222A08" w:rsidP="00572A23">
      <w:pPr>
        <w:suppressAutoHyphens/>
        <w:spacing w:line="240" w:lineRule="auto"/>
      </w:pPr>
    </w:p>
    <w:tbl>
      <w:tblPr>
        <w:tblStyle w:val="Tabellengitternetz"/>
        <w:tblW w:w="0" w:type="auto"/>
        <w:tblInd w:w="23" w:type="dxa"/>
        <w:tblLook w:val="04A0"/>
      </w:tblPr>
      <w:tblGrid>
        <w:gridCol w:w="9210"/>
      </w:tblGrid>
      <w:tr w:rsidR="00222A08" w:rsidRPr="00222A08" w:rsidTr="00222A08">
        <w:tc>
          <w:tcPr>
            <w:tcW w:w="9210" w:type="dxa"/>
          </w:tcPr>
          <w:p w:rsidR="00222A08" w:rsidRPr="00222A08" w:rsidRDefault="00222A08" w:rsidP="007A78F6">
            <w:pPr>
              <w:suppressAutoHyphens/>
              <w:spacing w:line="240" w:lineRule="auto"/>
              <w:jc w:val="both"/>
              <w:rPr>
                <w:bCs/>
              </w:rPr>
            </w:pPr>
            <w:r w:rsidRPr="00222A08">
              <w:rPr>
                <w:bCs/>
              </w:rPr>
              <w:t xml:space="preserve">Der belgische König Leopold II. bekam auf einer internationalen Konferenz 1885 die Kolonie Kongo zugesprochen. Davor hatte er bereits viel Land von einheimischen Häuptlingen „abgekauft“ und nutzte den Kongo als private Einnahmequelle. Die Kolonie diente der Gewinnung von Kautschuk, Palmöl und Elfenbein. </w:t>
            </w:r>
            <w:r>
              <w:rPr>
                <w:bCs/>
              </w:rPr>
              <w:t xml:space="preserve">Mit einer </w:t>
            </w:r>
            <w:r w:rsidRPr="00222A08">
              <w:rPr>
                <w:bCs/>
              </w:rPr>
              <w:t xml:space="preserve">Kolonialarmee des Königs </w:t>
            </w:r>
            <w:r>
              <w:rPr>
                <w:bCs/>
              </w:rPr>
              <w:t xml:space="preserve">wurden </w:t>
            </w:r>
            <w:r w:rsidRPr="00222A08">
              <w:rPr>
                <w:bCs/>
              </w:rPr>
              <w:t xml:space="preserve">die Ablieferungen </w:t>
            </w:r>
            <w:r>
              <w:rPr>
                <w:bCs/>
              </w:rPr>
              <w:t xml:space="preserve">der </w:t>
            </w:r>
            <w:r w:rsidRPr="00222A08">
              <w:rPr>
                <w:bCs/>
              </w:rPr>
              <w:t xml:space="preserve">Dorfbevölkerungen überwacht. </w:t>
            </w:r>
            <w:r w:rsidRPr="00222A08">
              <w:t xml:space="preserve">Zeitgenossen schätzten, dass im Kongo-Freistaat die Hälfte der </w:t>
            </w:r>
            <w:r w:rsidR="007A78F6">
              <w:t xml:space="preserve">Einwohnerinnen und </w:t>
            </w:r>
            <w:r w:rsidRPr="00222A08">
              <w:t>Einwohner durch Zwangsarbeit, Hunger, die Grausamkeit der Verwaltung sowie durch Krankheiten ums Leben kam. Aufgrund dieser Gräuel geriet der belgische König in die Kritik und verkaufte 1908 die Kolonie an den belgischen Staat.</w:t>
            </w:r>
          </w:p>
        </w:tc>
      </w:tr>
    </w:tbl>
    <w:p w:rsidR="00222A08" w:rsidRDefault="00222A0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9C6E2B" w:rsidRPr="009F2D04" w:rsidTr="00222A08">
        <w:tc>
          <w:tcPr>
            <w:tcW w:w="9210" w:type="dxa"/>
          </w:tcPr>
          <w:p w:rsidR="009C6E2B" w:rsidRPr="00222A08" w:rsidRDefault="002E2227" w:rsidP="00572A23">
            <w:pPr>
              <w:suppressAutoHyphens/>
              <w:spacing w:line="240" w:lineRule="auto"/>
              <w:jc w:val="both"/>
              <w:rPr>
                <w:bCs/>
              </w:rPr>
            </w:pPr>
            <w:r w:rsidRPr="00222A08">
              <w:rPr>
                <w:bCs/>
              </w:rPr>
              <w:t>In der Demokratischen Republik Kongo wi</w:t>
            </w:r>
            <w:r w:rsidR="0031162B" w:rsidRPr="00222A08">
              <w:rPr>
                <w:bCs/>
              </w:rPr>
              <w:t xml:space="preserve">rd ein Großteil des </w:t>
            </w:r>
            <w:proofErr w:type="spellStart"/>
            <w:r w:rsidR="0031162B" w:rsidRPr="00222A08">
              <w:rPr>
                <w:bCs/>
              </w:rPr>
              <w:t>Coltans</w:t>
            </w:r>
            <w:proofErr w:type="spellEnd"/>
            <w:r w:rsidR="0031162B" w:rsidRPr="00222A08">
              <w:rPr>
                <w:bCs/>
              </w:rPr>
              <w:t xml:space="preserve"> durch</w:t>
            </w:r>
            <w:r w:rsidRPr="00222A08">
              <w:rPr>
                <w:bCs/>
              </w:rPr>
              <w:t xml:space="preserve"> mit R</w:t>
            </w:r>
            <w:r w:rsidR="00900401" w:rsidRPr="00222A08">
              <w:rPr>
                <w:bCs/>
              </w:rPr>
              <w:t>uanda oder Uganda kooperierende</w:t>
            </w:r>
            <w:r w:rsidRPr="00222A08">
              <w:rPr>
                <w:bCs/>
              </w:rPr>
              <w:t xml:space="preserve"> Rebellengruppen oder </w:t>
            </w:r>
            <w:r w:rsidR="002B4C76" w:rsidRPr="00222A08">
              <w:rPr>
                <w:bCs/>
              </w:rPr>
              <w:t>die ruandische</w:t>
            </w:r>
            <w:r w:rsidRPr="00222A08">
              <w:rPr>
                <w:bCs/>
              </w:rPr>
              <w:t xml:space="preserve"> oder ugandische Armee vertrieben. Diese Aktivitäten haben u. a. dazu geführt, dass Uganda 1999 offiziell 69,5</w:t>
            </w:r>
            <w:r w:rsidR="0031162B" w:rsidRPr="00222A08">
              <w:rPr>
                <w:bCs/>
              </w:rPr>
              <w:t xml:space="preserve"> t</w:t>
            </w:r>
            <w:r w:rsidRPr="00222A08">
              <w:rPr>
                <w:bCs/>
              </w:rPr>
              <w:t xml:space="preserve"> </w:t>
            </w:r>
            <w:proofErr w:type="spellStart"/>
            <w:r w:rsidRPr="00222A08">
              <w:rPr>
                <w:bCs/>
              </w:rPr>
              <w:t>Coltan</w:t>
            </w:r>
            <w:proofErr w:type="spellEnd"/>
            <w:r w:rsidRPr="00222A08">
              <w:rPr>
                <w:bCs/>
              </w:rPr>
              <w:t xml:space="preserve"> exportiert hat, obwohl es über keine eigene Produktion verfügt.</w:t>
            </w:r>
          </w:p>
        </w:tc>
      </w:tr>
    </w:tbl>
    <w:p w:rsidR="00BE7D48" w:rsidRDefault="00BE7D48" w:rsidP="00572A23">
      <w:pPr>
        <w:suppressAutoHyphens/>
        <w:spacing w:line="240" w:lineRule="auto"/>
      </w:pPr>
    </w:p>
    <w:p w:rsidR="00BE7D48" w:rsidRDefault="00BE7D48" w:rsidP="00572A23">
      <w:pPr>
        <w:suppressAutoHyphens/>
        <w:spacing w:line="240" w:lineRule="auto"/>
      </w:pPr>
    </w:p>
    <w:p w:rsidR="00BE7D48" w:rsidRDefault="00BE7D48" w:rsidP="00572A23">
      <w:pPr>
        <w:suppressAutoHyphens/>
        <w:spacing w:line="240" w:lineRule="auto"/>
      </w:pPr>
    </w:p>
    <w:p w:rsidR="00BE7D48" w:rsidRDefault="00BE7D48" w:rsidP="00572A23">
      <w:pPr>
        <w:suppressAutoHyphens/>
        <w:spacing w:line="240" w:lineRule="auto"/>
      </w:pPr>
    </w:p>
    <w:p w:rsidR="00BE7D48" w:rsidRDefault="00BE7D48" w:rsidP="00572A23">
      <w:pPr>
        <w:suppressAutoHyphens/>
        <w:spacing w:line="240" w:lineRule="auto"/>
      </w:pPr>
    </w:p>
    <w:p w:rsidR="00BE7D48" w:rsidRDefault="00BE7D48" w:rsidP="00572A23">
      <w:pPr>
        <w:suppressAutoHyphens/>
        <w:spacing w:line="240" w:lineRule="auto"/>
      </w:pPr>
    </w:p>
    <w:p w:rsidR="00BE7D48" w:rsidRDefault="00BE7D48" w:rsidP="00572A23">
      <w:pPr>
        <w:suppressAutoHyphens/>
        <w:spacing w:line="240" w:lineRule="auto"/>
      </w:pPr>
    </w:p>
    <w:p w:rsidR="00BE7D48" w:rsidRDefault="00BE7D48"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572A23" w:rsidRDefault="00572A23" w:rsidP="00572A23">
      <w:pPr>
        <w:suppressAutoHyphens/>
        <w:spacing w:line="240" w:lineRule="auto"/>
      </w:pPr>
    </w:p>
    <w:p w:rsidR="00BE7D48" w:rsidRDefault="00BE7D48" w:rsidP="00572A23">
      <w:pPr>
        <w:suppressAutoHyphens/>
        <w:spacing w:line="240" w:lineRule="auto"/>
      </w:pPr>
    </w:p>
    <w:p w:rsidR="00572A23" w:rsidRDefault="00572A23" w:rsidP="00572A23">
      <w:pPr>
        <w:suppressAutoHyphens/>
        <w:spacing w:line="240" w:lineRule="auto"/>
        <w:jc w:val="both"/>
      </w:pPr>
      <w:r>
        <w:rPr>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E05424">
        <w:t>, 2017</w:t>
      </w:r>
    </w:p>
    <w:p w:rsidR="00572A23" w:rsidRPr="00572A23" w:rsidRDefault="00572A23" w:rsidP="00572A23">
      <w:pPr>
        <w:suppressAutoHyphens/>
        <w:spacing w:line="240" w:lineRule="auto"/>
        <w:jc w:val="both"/>
        <w:rPr>
          <w:bCs/>
          <w:iCs/>
          <w:color w:val="000000" w:themeColor="text1"/>
          <w:sz w:val="16"/>
          <w:szCs w:val="16"/>
        </w:rPr>
      </w:pPr>
      <w:r w:rsidRPr="00572A23">
        <w:rPr>
          <w:bCs/>
          <w:iCs/>
          <w:color w:val="000000" w:themeColor="text1"/>
          <w:sz w:val="16"/>
          <w:szCs w:val="16"/>
        </w:rPr>
        <w:t>Materialien basieren auf folgende fachliche Quellen:</w:t>
      </w:r>
    </w:p>
    <w:p w:rsidR="00572A23" w:rsidRPr="00572A23" w:rsidRDefault="00572A23" w:rsidP="00572A23">
      <w:pPr>
        <w:suppressAutoHyphens/>
        <w:spacing w:line="240" w:lineRule="auto"/>
        <w:jc w:val="both"/>
        <w:rPr>
          <w:color w:val="000000" w:themeColor="text1"/>
          <w:sz w:val="16"/>
          <w:szCs w:val="16"/>
        </w:rPr>
      </w:pPr>
      <w:proofErr w:type="spellStart"/>
      <w:r w:rsidRPr="00572A23">
        <w:rPr>
          <w:color w:val="000000" w:themeColor="text1"/>
          <w:sz w:val="16"/>
          <w:szCs w:val="16"/>
        </w:rPr>
        <w:t>Alkens</w:t>
      </w:r>
      <w:proofErr w:type="spellEnd"/>
      <w:r w:rsidRPr="00572A23">
        <w:rPr>
          <w:color w:val="000000" w:themeColor="text1"/>
          <w:sz w:val="16"/>
          <w:szCs w:val="16"/>
        </w:rPr>
        <w:t xml:space="preserve">, M. (o. J.): Unsere Handys – ihre Armut? Abgerufen unter </w:t>
      </w:r>
      <w:hyperlink r:id="rId12" w:history="1">
        <w:r w:rsidRPr="00572A23">
          <w:rPr>
            <w:rStyle w:val="Hyperlink"/>
            <w:color w:val="000000" w:themeColor="text1"/>
            <w:sz w:val="16"/>
            <w:szCs w:val="16"/>
            <w:u w:val="none"/>
          </w:rPr>
          <w:t>http://www.uni-potsdam.de/fileadmin/projects/prof-fuhrmann-vwl/comments/unser_handy_ihre_armut_.pdf</w:t>
        </w:r>
      </w:hyperlink>
      <w:r w:rsidRPr="00572A23">
        <w:rPr>
          <w:color w:val="000000" w:themeColor="text1"/>
          <w:sz w:val="16"/>
          <w:szCs w:val="16"/>
        </w:rPr>
        <w:t xml:space="preserve"> </w:t>
      </w:r>
    </w:p>
    <w:p w:rsidR="00572A23" w:rsidRPr="00572A23" w:rsidRDefault="00572A23" w:rsidP="00572A23">
      <w:pPr>
        <w:suppressAutoHyphens/>
        <w:spacing w:line="240" w:lineRule="auto"/>
        <w:jc w:val="both"/>
        <w:rPr>
          <w:color w:val="000000" w:themeColor="text1"/>
          <w:sz w:val="16"/>
          <w:szCs w:val="16"/>
        </w:rPr>
      </w:pPr>
      <w:proofErr w:type="spellStart"/>
      <w:r w:rsidRPr="00572A23">
        <w:rPr>
          <w:color w:val="000000" w:themeColor="text1"/>
          <w:sz w:val="16"/>
          <w:szCs w:val="16"/>
        </w:rPr>
        <w:t>Doevenspeck</w:t>
      </w:r>
      <w:proofErr w:type="spellEnd"/>
      <w:r w:rsidRPr="00572A23">
        <w:rPr>
          <w:color w:val="000000" w:themeColor="text1"/>
          <w:sz w:val="16"/>
          <w:szCs w:val="16"/>
        </w:rPr>
        <w:t xml:space="preserve">, M. (2012): "Konfliktmineralien": Rohstoffhandel und bewaffnete Konflikte im </w:t>
      </w:r>
      <w:proofErr w:type="spellStart"/>
      <w:r w:rsidRPr="00572A23">
        <w:rPr>
          <w:color w:val="000000" w:themeColor="text1"/>
          <w:sz w:val="16"/>
          <w:szCs w:val="16"/>
        </w:rPr>
        <w:t>Ostkongo</w:t>
      </w:r>
      <w:proofErr w:type="spellEnd"/>
      <w:r w:rsidRPr="00572A23">
        <w:rPr>
          <w:color w:val="000000" w:themeColor="text1"/>
          <w:sz w:val="16"/>
          <w:szCs w:val="16"/>
        </w:rPr>
        <w:t>. In Geographische Rundschau 64 (2), 12-19.</w:t>
      </w:r>
    </w:p>
    <w:p w:rsidR="00572A23" w:rsidRPr="00572A23" w:rsidRDefault="00572A23" w:rsidP="00572A23">
      <w:pPr>
        <w:suppressAutoHyphens/>
        <w:spacing w:line="240" w:lineRule="auto"/>
        <w:jc w:val="both"/>
        <w:rPr>
          <w:color w:val="000000" w:themeColor="text1"/>
          <w:sz w:val="16"/>
          <w:szCs w:val="16"/>
        </w:rPr>
      </w:pPr>
      <w:proofErr w:type="spellStart"/>
      <w:r w:rsidRPr="00572A23">
        <w:rPr>
          <w:color w:val="000000" w:themeColor="text1"/>
          <w:sz w:val="16"/>
          <w:szCs w:val="16"/>
        </w:rPr>
        <w:t>Hütz</w:t>
      </w:r>
      <w:proofErr w:type="spellEnd"/>
      <w:r w:rsidRPr="00572A23">
        <w:rPr>
          <w:color w:val="000000" w:themeColor="text1"/>
          <w:sz w:val="16"/>
          <w:szCs w:val="16"/>
        </w:rPr>
        <w:t>-Adams, F. (2003): Kongo: Handys, Gold &amp; Diamanten. Kriegsfinanzierung im Zeitalter der Globalisierung. Siegburg.</w:t>
      </w:r>
    </w:p>
    <w:p w:rsidR="00572A23" w:rsidRPr="00572A23" w:rsidRDefault="00572A23" w:rsidP="00572A23">
      <w:pPr>
        <w:suppressAutoHyphens/>
        <w:spacing w:line="240" w:lineRule="auto"/>
        <w:jc w:val="both"/>
        <w:rPr>
          <w:color w:val="000000" w:themeColor="text1"/>
          <w:sz w:val="16"/>
          <w:szCs w:val="16"/>
        </w:rPr>
      </w:pPr>
      <w:proofErr w:type="spellStart"/>
      <w:r w:rsidRPr="00572A23">
        <w:rPr>
          <w:color w:val="000000" w:themeColor="text1"/>
          <w:sz w:val="16"/>
          <w:szCs w:val="16"/>
        </w:rPr>
        <w:t>Korf</w:t>
      </w:r>
      <w:proofErr w:type="spellEnd"/>
      <w:r w:rsidRPr="00572A23">
        <w:rPr>
          <w:color w:val="000000" w:themeColor="text1"/>
          <w:sz w:val="16"/>
          <w:szCs w:val="16"/>
        </w:rPr>
        <w:t xml:space="preserve">, B. &amp; </w:t>
      </w:r>
      <w:proofErr w:type="spellStart"/>
      <w:r w:rsidRPr="00572A23">
        <w:rPr>
          <w:color w:val="000000" w:themeColor="text1"/>
          <w:sz w:val="16"/>
          <w:szCs w:val="16"/>
        </w:rPr>
        <w:t>Raeymaekers</w:t>
      </w:r>
      <w:proofErr w:type="spellEnd"/>
      <w:r w:rsidRPr="00572A23">
        <w:rPr>
          <w:color w:val="000000" w:themeColor="text1"/>
          <w:sz w:val="16"/>
          <w:szCs w:val="16"/>
        </w:rPr>
        <w:t>, T. (2012): Geographie der Gewalt. In Geographische Rundschau 64 (2), 4-11.</w:t>
      </w:r>
    </w:p>
    <w:p w:rsidR="00572A23" w:rsidRPr="00572A23" w:rsidRDefault="00572A23" w:rsidP="00572A23">
      <w:pPr>
        <w:suppressAutoHyphens/>
        <w:spacing w:line="240" w:lineRule="auto"/>
        <w:jc w:val="both"/>
        <w:rPr>
          <w:color w:val="000000" w:themeColor="text1"/>
          <w:sz w:val="16"/>
          <w:szCs w:val="16"/>
        </w:rPr>
      </w:pPr>
      <w:proofErr w:type="spellStart"/>
      <w:r w:rsidRPr="00572A23">
        <w:rPr>
          <w:color w:val="000000" w:themeColor="text1"/>
          <w:sz w:val="16"/>
          <w:szCs w:val="16"/>
        </w:rPr>
        <w:t>Oßenbrügge</w:t>
      </w:r>
      <w:proofErr w:type="spellEnd"/>
      <w:r w:rsidRPr="00572A23">
        <w:rPr>
          <w:color w:val="000000" w:themeColor="text1"/>
          <w:sz w:val="16"/>
          <w:szCs w:val="16"/>
        </w:rPr>
        <w:t xml:space="preserve">, J. (2009): Ressourcenkonflikte in Afrika. In Wissenschaft und Frieden (2), 15-19. </w:t>
      </w:r>
    </w:p>
    <w:p w:rsidR="007A78F6" w:rsidRDefault="00572A23" w:rsidP="00572A23">
      <w:pPr>
        <w:suppressAutoHyphens/>
        <w:spacing w:line="240" w:lineRule="auto"/>
        <w:jc w:val="both"/>
        <w:rPr>
          <w:color w:val="000000" w:themeColor="text1"/>
          <w:sz w:val="16"/>
          <w:szCs w:val="16"/>
        </w:rPr>
      </w:pPr>
      <w:proofErr w:type="spellStart"/>
      <w:r w:rsidRPr="00572A23">
        <w:rPr>
          <w:color w:val="000000" w:themeColor="text1"/>
          <w:sz w:val="16"/>
          <w:szCs w:val="16"/>
        </w:rPr>
        <w:t>Tegera</w:t>
      </w:r>
      <w:proofErr w:type="spellEnd"/>
      <w:r w:rsidRPr="00572A23">
        <w:rPr>
          <w:color w:val="000000" w:themeColor="text1"/>
          <w:sz w:val="16"/>
          <w:szCs w:val="16"/>
        </w:rPr>
        <w:t xml:space="preserve">, A. (2002): The </w:t>
      </w:r>
      <w:proofErr w:type="spellStart"/>
      <w:r w:rsidRPr="00572A23">
        <w:rPr>
          <w:color w:val="000000" w:themeColor="text1"/>
          <w:sz w:val="16"/>
          <w:szCs w:val="16"/>
        </w:rPr>
        <w:t>Coltan</w:t>
      </w:r>
      <w:proofErr w:type="spellEnd"/>
      <w:r w:rsidRPr="00572A23">
        <w:rPr>
          <w:color w:val="000000" w:themeColor="text1"/>
          <w:sz w:val="16"/>
          <w:szCs w:val="16"/>
        </w:rPr>
        <w:t xml:space="preserve"> </w:t>
      </w:r>
      <w:proofErr w:type="spellStart"/>
      <w:r w:rsidRPr="00572A23">
        <w:rPr>
          <w:color w:val="000000" w:themeColor="text1"/>
          <w:sz w:val="16"/>
          <w:szCs w:val="16"/>
        </w:rPr>
        <w:t>Phenomenon</w:t>
      </w:r>
      <w:proofErr w:type="spellEnd"/>
      <w:r w:rsidRPr="00572A23">
        <w:rPr>
          <w:color w:val="000000" w:themeColor="text1"/>
          <w:sz w:val="16"/>
          <w:szCs w:val="16"/>
        </w:rPr>
        <w:t xml:space="preserve">. </w:t>
      </w:r>
      <w:r w:rsidRPr="00572A23">
        <w:rPr>
          <w:color w:val="000000" w:themeColor="text1"/>
          <w:sz w:val="16"/>
          <w:szCs w:val="16"/>
          <w:lang w:val="en-US"/>
        </w:rPr>
        <w:t xml:space="preserve">How a rare mineral has changed the life of the population of war-torn North Kivu province in the East of the Democratic Republic of Congo. </w:t>
      </w:r>
      <w:r w:rsidRPr="00572A23">
        <w:rPr>
          <w:color w:val="000000" w:themeColor="text1"/>
          <w:sz w:val="16"/>
          <w:szCs w:val="16"/>
        </w:rPr>
        <w:t xml:space="preserve">Abgerufen unter </w:t>
      </w:r>
      <w:hyperlink r:id="rId13" w:history="1">
        <w:r w:rsidRPr="00572A23">
          <w:rPr>
            <w:rStyle w:val="Hyperlink"/>
            <w:color w:val="000000" w:themeColor="text1"/>
            <w:sz w:val="16"/>
            <w:szCs w:val="16"/>
            <w:u w:val="none"/>
          </w:rPr>
          <w:t>http://www.kongo-kinshasa.de/dokumente/ngo/polinst_coltan.pdf</w:t>
        </w:r>
      </w:hyperlink>
      <w:r w:rsidRPr="00572A23">
        <w:rPr>
          <w:color w:val="000000" w:themeColor="text1"/>
          <w:sz w:val="16"/>
          <w:szCs w:val="16"/>
        </w:rPr>
        <w:t xml:space="preserve"> </w:t>
      </w:r>
    </w:p>
    <w:p w:rsidR="007A78F6" w:rsidRDefault="007A78F6">
      <w:pPr>
        <w:spacing w:line="240" w:lineRule="auto"/>
        <w:rPr>
          <w:color w:val="000000" w:themeColor="text1"/>
          <w:sz w:val="16"/>
          <w:szCs w:val="16"/>
        </w:rPr>
      </w:pPr>
      <w:r>
        <w:rPr>
          <w:color w:val="000000" w:themeColor="text1"/>
          <w:sz w:val="16"/>
          <w:szCs w:val="16"/>
        </w:rPr>
        <w:br w:type="page"/>
      </w:r>
    </w:p>
    <w:p w:rsidR="00F5187C" w:rsidRPr="00572A23" w:rsidRDefault="00F5187C" w:rsidP="00572A23">
      <w:pPr>
        <w:suppressAutoHyphens/>
        <w:spacing w:line="240" w:lineRule="auto"/>
        <w:jc w:val="both"/>
        <w:rPr>
          <w:b/>
          <w:sz w:val="24"/>
          <w:szCs w:val="24"/>
        </w:rPr>
      </w:pPr>
      <w:r w:rsidRPr="00572A23">
        <w:rPr>
          <w:b/>
          <w:sz w:val="24"/>
          <w:szCs w:val="24"/>
        </w:rPr>
        <w:lastRenderedPageBreak/>
        <w:t>Erwartungshorizont:</w:t>
      </w:r>
    </w:p>
    <w:p w:rsidR="00F61D7E" w:rsidRDefault="00F61D7E" w:rsidP="00572A23">
      <w:pPr>
        <w:suppressAutoHyphens/>
        <w:spacing w:line="240" w:lineRule="auto"/>
        <w:rPr>
          <w:bCs/>
        </w:rPr>
      </w:pPr>
    </w:p>
    <w:p w:rsidR="00E05B35" w:rsidRDefault="00E05B35" w:rsidP="00572A23">
      <w:pPr>
        <w:suppressAutoHyphens/>
        <w:spacing w:line="240" w:lineRule="auto"/>
        <w:rPr>
          <w:bCs/>
        </w:rPr>
      </w:pPr>
      <w:r>
        <w:rPr>
          <w:bCs/>
        </w:rPr>
        <w:t>Die Schülerinnen und Schül</w:t>
      </w:r>
      <w:r w:rsidR="00C332D5">
        <w:rPr>
          <w:bCs/>
        </w:rPr>
        <w:t>er sortieren die Textbausteine und ordnen sie einzelnen Abschnitten (Zwischenüberschriften)</w:t>
      </w:r>
      <w:r w:rsidR="00A65886">
        <w:rPr>
          <w:bCs/>
        </w:rPr>
        <w:t xml:space="preserve"> </w:t>
      </w:r>
      <w:r w:rsidR="00C332D5">
        <w:rPr>
          <w:bCs/>
        </w:rPr>
        <w:t>zu</w:t>
      </w:r>
      <w:r w:rsidR="00A65886">
        <w:rPr>
          <w:bCs/>
        </w:rPr>
        <w:t xml:space="preserve">. Sie vervollständigen den Text mit </w:t>
      </w:r>
      <w:r w:rsidR="005D520A">
        <w:rPr>
          <w:bCs/>
        </w:rPr>
        <w:t>eine</w:t>
      </w:r>
      <w:r w:rsidR="00A65886">
        <w:rPr>
          <w:bCs/>
        </w:rPr>
        <w:t>r</w:t>
      </w:r>
      <w:r w:rsidR="005D520A">
        <w:rPr>
          <w:bCs/>
        </w:rPr>
        <w:t xml:space="preserve"> Zusammenfassung und</w:t>
      </w:r>
      <w:r>
        <w:rPr>
          <w:bCs/>
        </w:rPr>
        <w:t xml:space="preserve"> formulieren ein Fazit.</w:t>
      </w:r>
    </w:p>
    <w:p w:rsidR="00E05B35" w:rsidRDefault="00E05B35" w:rsidP="00572A23">
      <w:pPr>
        <w:suppressAutoHyphens/>
        <w:spacing w:line="240" w:lineRule="auto"/>
        <w:rPr>
          <w:bCs/>
        </w:rPr>
      </w:pPr>
    </w:p>
    <w:p w:rsidR="00E05B35" w:rsidRPr="00F61D7E" w:rsidRDefault="00E05B35" w:rsidP="00572A23">
      <w:pPr>
        <w:suppressAutoHyphens/>
        <w:spacing w:line="240" w:lineRule="auto"/>
        <w:rPr>
          <w:b/>
          <w:bCs/>
        </w:rPr>
      </w:pPr>
      <w:r w:rsidRPr="00F61D7E">
        <w:rPr>
          <w:b/>
          <w:bCs/>
        </w:rPr>
        <w:t>Musterlösung:</w:t>
      </w:r>
    </w:p>
    <w:p w:rsidR="00F61D7E" w:rsidRDefault="00F61D7E" w:rsidP="00572A23">
      <w:pPr>
        <w:suppressAutoHyphens/>
        <w:spacing w:line="240" w:lineRule="auto"/>
        <w:rPr>
          <w:bCs/>
        </w:rPr>
      </w:pPr>
    </w:p>
    <w:p w:rsidR="00A65886" w:rsidRDefault="00A65886" w:rsidP="00572A23">
      <w:pPr>
        <w:suppressAutoHyphens/>
        <w:spacing w:line="240" w:lineRule="auto"/>
        <w:rPr>
          <w:bCs/>
        </w:rPr>
      </w:pPr>
      <w:r>
        <w:rPr>
          <w:bCs/>
        </w:rPr>
        <w:t xml:space="preserve">Mögliche </w:t>
      </w:r>
      <w:r w:rsidR="00F61D7E" w:rsidRPr="00F61D7E">
        <w:rPr>
          <w:bCs/>
        </w:rPr>
        <w:t>Überschrift</w:t>
      </w:r>
      <w:r>
        <w:rPr>
          <w:bCs/>
        </w:rPr>
        <w:t>/Zwischenüberschriften:</w:t>
      </w:r>
    </w:p>
    <w:p w:rsidR="00A65886" w:rsidRDefault="00A65886" w:rsidP="00572A23">
      <w:pPr>
        <w:suppressAutoHyphens/>
        <w:spacing w:line="240" w:lineRule="auto"/>
        <w:rPr>
          <w:bCs/>
        </w:rPr>
      </w:pPr>
    </w:p>
    <w:p w:rsidR="00F61D7E" w:rsidRPr="007A78F6" w:rsidRDefault="00A65886" w:rsidP="00572A23">
      <w:pPr>
        <w:suppressAutoHyphens/>
        <w:spacing w:line="240" w:lineRule="auto"/>
        <w:rPr>
          <w:bCs/>
          <w:i/>
          <w:iCs/>
        </w:rPr>
      </w:pPr>
      <w:r w:rsidRPr="007A78F6">
        <w:rPr>
          <w:bCs/>
          <w:i/>
        </w:rPr>
        <w:t>Kongos</w:t>
      </w:r>
      <w:r w:rsidR="00F61D7E" w:rsidRPr="007A78F6">
        <w:rPr>
          <w:i/>
        </w:rPr>
        <w:t xml:space="preserve"> Abhängigkeit vom </w:t>
      </w:r>
      <w:proofErr w:type="spellStart"/>
      <w:r w:rsidR="00F61D7E" w:rsidRPr="007A78F6">
        <w:rPr>
          <w:i/>
        </w:rPr>
        <w:t>Coltan</w:t>
      </w:r>
      <w:proofErr w:type="spellEnd"/>
    </w:p>
    <w:p w:rsidR="00F61D7E" w:rsidRDefault="00F61D7E" w:rsidP="00572A23">
      <w:pPr>
        <w:suppressAutoHyphens/>
        <w:spacing w:line="240" w:lineRule="auto"/>
        <w:rPr>
          <w:bCs/>
        </w:rPr>
      </w:pPr>
    </w:p>
    <w:p w:rsidR="00F61D7E" w:rsidRPr="007A78F6" w:rsidRDefault="00F61D7E" w:rsidP="00572A23">
      <w:pPr>
        <w:suppressAutoHyphens/>
        <w:spacing w:line="240" w:lineRule="auto"/>
        <w:rPr>
          <w:bCs/>
          <w:i/>
        </w:rPr>
      </w:pPr>
      <w:r w:rsidRPr="007A78F6">
        <w:rPr>
          <w:bCs/>
          <w:i/>
        </w:rPr>
        <w:t>1. Einleitung</w:t>
      </w: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572A23">
            <w:pPr>
              <w:suppressAutoHyphens/>
              <w:spacing w:line="240" w:lineRule="auto"/>
              <w:jc w:val="both"/>
              <w:rPr>
                <w:bCs/>
              </w:rPr>
            </w:pPr>
            <w:r w:rsidRPr="00222A08">
              <w:rPr>
                <w:bCs/>
              </w:rPr>
              <w:t xml:space="preserve">Schätzungen zufolge verfügt die Demokratische Republik Kongo über etwa 80 Prozent der weltweit bekannten </w:t>
            </w:r>
            <w:proofErr w:type="spellStart"/>
            <w:r w:rsidRPr="00222A08">
              <w:rPr>
                <w:bCs/>
              </w:rPr>
              <w:t>Coltan</w:t>
            </w:r>
            <w:proofErr w:type="spellEnd"/>
            <w:r w:rsidRPr="00222A08">
              <w:rPr>
                <w:bCs/>
              </w:rPr>
              <w:t xml:space="preserve">-Vorkommen. Das im </w:t>
            </w:r>
            <w:proofErr w:type="spellStart"/>
            <w:r w:rsidRPr="00222A08">
              <w:rPr>
                <w:bCs/>
              </w:rPr>
              <w:t>Coltan</w:t>
            </w:r>
            <w:proofErr w:type="spellEnd"/>
            <w:r w:rsidRPr="00222A08">
              <w:rPr>
                <w:bCs/>
              </w:rPr>
              <w:t xml:space="preserve"> enthaltene Tantal wird in der Herstellung von Kondensatoren gebraucht. Es erlaubt den Konstrukteuren sehr leistungsfähige und sehr kleine Kondensatoren zu bauen, die die Herstellung von immer kleineren Handys, Laptops, Spielkonsolen und Digitalkameras ermöglichen. </w:t>
            </w:r>
          </w:p>
        </w:tc>
      </w:tr>
    </w:tbl>
    <w:p w:rsidR="00F61D7E" w:rsidRDefault="00F61D7E" w:rsidP="00572A23">
      <w:pPr>
        <w:suppressAutoHyphens/>
        <w:spacing w:line="240" w:lineRule="auto"/>
      </w:pPr>
    </w:p>
    <w:p w:rsidR="00F61D7E" w:rsidRPr="007A78F6" w:rsidRDefault="00F61D7E" w:rsidP="00572A23">
      <w:pPr>
        <w:suppressAutoHyphens/>
        <w:spacing w:line="240" w:lineRule="auto"/>
        <w:rPr>
          <w:i/>
        </w:rPr>
      </w:pPr>
      <w:r w:rsidRPr="007A78F6">
        <w:rPr>
          <w:i/>
        </w:rPr>
        <w:t>2. Historische Entwicklung des Rohstoffabbaus</w:t>
      </w: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572A23">
            <w:pPr>
              <w:suppressAutoHyphens/>
              <w:spacing w:line="240" w:lineRule="auto"/>
              <w:rPr>
                <w:bCs/>
              </w:rPr>
            </w:pPr>
            <w:r w:rsidRPr="00222A08">
              <w:rPr>
                <w:bCs/>
              </w:rPr>
              <w:t>Die heutige Republik Kongo ist seit 1960 unabhängig. Davor war sie von 1908 bis 1960 eine Kolonie des Staates Belgien. Dem Staat war die Kolonie vom belgischen König verkauft  worden, in dessen Privatbesitz das Land sich seit 1885 befand.</w:t>
            </w:r>
          </w:p>
        </w:tc>
      </w:tr>
    </w:tbl>
    <w:p w:rsidR="00F61D7E" w:rsidRDefault="00F61D7E"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7A78F6">
            <w:pPr>
              <w:suppressAutoHyphens/>
              <w:spacing w:line="240" w:lineRule="auto"/>
              <w:jc w:val="both"/>
              <w:rPr>
                <w:bCs/>
              </w:rPr>
            </w:pPr>
            <w:r w:rsidRPr="00222A08">
              <w:rPr>
                <w:bCs/>
              </w:rPr>
              <w:t xml:space="preserve">Der belgische König Leopold II. bekam auf einer internationalen Konferenz 1885 die Kolonie Kongo zugesprochen. Davor hatte er bereits viel Land von einheimischen Häuptlingen „abgekauft“ und nutzte den Kongo als private Einnahmequelle. Die Kolonie diente der Gewinnung von Kautschuk, Palmöl und Elfenbein. </w:t>
            </w:r>
            <w:r>
              <w:rPr>
                <w:bCs/>
              </w:rPr>
              <w:t xml:space="preserve">Mit einer </w:t>
            </w:r>
            <w:r w:rsidRPr="00222A08">
              <w:rPr>
                <w:bCs/>
              </w:rPr>
              <w:t xml:space="preserve">Kolonialarmee des Königs </w:t>
            </w:r>
            <w:r>
              <w:rPr>
                <w:bCs/>
              </w:rPr>
              <w:t xml:space="preserve">wurden </w:t>
            </w:r>
            <w:r w:rsidRPr="00222A08">
              <w:rPr>
                <w:bCs/>
              </w:rPr>
              <w:t xml:space="preserve">die Ablieferungen </w:t>
            </w:r>
            <w:r>
              <w:rPr>
                <w:bCs/>
              </w:rPr>
              <w:t xml:space="preserve">der </w:t>
            </w:r>
            <w:r w:rsidRPr="00222A08">
              <w:rPr>
                <w:bCs/>
              </w:rPr>
              <w:t xml:space="preserve">Dorfbevölkerungen überwacht. </w:t>
            </w:r>
            <w:r w:rsidRPr="00222A08">
              <w:t>Zeitgenossen schätzten, dass im Kongo-Freistaat die Hälfte der Einwohner</w:t>
            </w:r>
            <w:r w:rsidR="007A78F6">
              <w:t>innen und Einwohner</w:t>
            </w:r>
            <w:r w:rsidRPr="00222A08">
              <w:t xml:space="preserve"> durch Zwangsarbeit, Hunger, die Grausamkeit der Verwaltung sowie durch Krankheiten ums Leben kam. Aufgrund dieser Gräuel geriet der belgische König in die Kritik und verkaufte 1908 die Kolonie an den belgischen Staat.</w:t>
            </w:r>
          </w:p>
        </w:tc>
      </w:tr>
    </w:tbl>
    <w:p w:rsidR="00F61D7E" w:rsidRDefault="00F61D7E"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7A78F6">
            <w:pPr>
              <w:suppressAutoHyphens/>
              <w:spacing w:line="240" w:lineRule="auto"/>
              <w:jc w:val="both"/>
              <w:rPr>
                <w:bCs/>
              </w:rPr>
            </w:pPr>
            <w:r w:rsidRPr="00222A08">
              <w:rPr>
                <w:bCs/>
              </w:rPr>
              <w:t xml:space="preserve">Der belgische Staat behielt die Praxis der Gewinnung von Kautschuk und Palmöl zwar bei, förderte aber vor allem den Bergbau. In der im östlichen Kongo gelegenen Provinz </w:t>
            </w:r>
            <w:proofErr w:type="spellStart"/>
            <w:r w:rsidRPr="00222A08">
              <w:rPr>
                <w:bCs/>
              </w:rPr>
              <w:t>Katanga</w:t>
            </w:r>
            <w:proofErr w:type="spellEnd"/>
            <w:r w:rsidRPr="00222A08">
              <w:rPr>
                <w:bCs/>
              </w:rPr>
              <w:t xml:space="preserve"> wurden Kupferminen errichtet, die knapp </w:t>
            </w:r>
            <w:r w:rsidR="007A78F6">
              <w:rPr>
                <w:bCs/>
              </w:rPr>
              <w:t>zehn</w:t>
            </w:r>
            <w:r w:rsidRPr="00222A08">
              <w:rPr>
                <w:bCs/>
              </w:rPr>
              <w:t xml:space="preserve"> Prozent des Kupfers weltweit produzierten. Andere Unternehmen investierten in die Ausbeutung von Kobalt, Zink, Diamanten und Uran.</w:t>
            </w:r>
          </w:p>
        </w:tc>
      </w:tr>
    </w:tbl>
    <w:p w:rsidR="00BE7D48" w:rsidRDefault="00BE7D48"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572A23">
            <w:pPr>
              <w:suppressAutoHyphens/>
              <w:spacing w:line="240" w:lineRule="auto"/>
              <w:jc w:val="both"/>
              <w:rPr>
                <w:bCs/>
              </w:rPr>
            </w:pPr>
            <w:r w:rsidRPr="00222A08">
              <w:rPr>
                <w:bCs/>
              </w:rPr>
              <w:t xml:space="preserve">1960 wurde der Kongo unabhängig: Belgien erkannte, dass es das große Land nicht mehr regieren konnte, da sich die politischen Kräfte im Kongo zunehmend gegen Belgien richteten. Die nach der Unabhängigkeit von Belgien 1960 entstandene demokratische Republik Kongo blieb politisch instabil. Die zeitweilige Abspaltung der rohstoffreichen Provinz </w:t>
            </w:r>
            <w:proofErr w:type="spellStart"/>
            <w:r w:rsidRPr="00222A08">
              <w:rPr>
                <w:bCs/>
              </w:rPr>
              <w:t>Katanga</w:t>
            </w:r>
            <w:proofErr w:type="spellEnd"/>
            <w:r w:rsidRPr="00222A08">
              <w:rPr>
                <w:bCs/>
              </w:rPr>
              <w:t xml:space="preserve"> und Bürgerkrieg führten zu über einer Million Toten. Nachdem es 1965 nach den Parlamentswahlen nicht gelang, eine Regierung zu bilden</w:t>
            </w:r>
            <w:r w:rsidR="007A78F6">
              <w:rPr>
                <w:bCs/>
              </w:rPr>
              <w:t>,</w:t>
            </w:r>
            <w:r w:rsidRPr="00222A08">
              <w:rPr>
                <w:bCs/>
              </w:rPr>
              <w:t xml:space="preserve"> putschte sich der Armeechef </w:t>
            </w:r>
            <w:r w:rsidRPr="00222A08">
              <w:t xml:space="preserve">Joseph-Désiré Mobutu an die Macht. </w:t>
            </w:r>
            <w:r w:rsidRPr="00222A08">
              <w:rPr>
                <w:bCs/>
              </w:rPr>
              <w:t>In den ersten zehn Jahren seiner Herrschaft nutzte Mobutu die Einnahmen aus dem Rohstoffexport, um seine Macht durch Geldzahlungen an politische Gegner ebenso wie an die jeweiligen Mitglieder der Regierung zu festigen. Allerdings investierte er weder in einen funktionierenden Verwaltungsapparat noch in eine durchsetzungsfähige Armee.</w:t>
            </w:r>
          </w:p>
        </w:tc>
      </w:tr>
    </w:tbl>
    <w:p w:rsidR="007A78F6" w:rsidRDefault="007A78F6" w:rsidP="00572A23">
      <w:pPr>
        <w:suppressAutoHyphens/>
        <w:spacing w:line="240" w:lineRule="auto"/>
      </w:pPr>
    </w:p>
    <w:p w:rsidR="007A78F6" w:rsidRDefault="007A78F6">
      <w:pPr>
        <w:spacing w:line="240" w:lineRule="auto"/>
      </w:pPr>
      <w:r>
        <w:br w:type="page"/>
      </w: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572A23">
            <w:pPr>
              <w:suppressAutoHyphens/>
              <w:spacing w:line="240" w:lineRule="auto"/>
              <w:jc w:val="both"/>
              <w:rPr>
                <w:bCs/>
              </w:rPr>
            </w:pPr>
            <w:r w:rsidRPr="00222A08">
              <w:rPr>
                <w:bCs/>
              </w:rPr>
              <w:lastRenderedPageBreak/>
              <w:t>Als zu Beginn der 1970er Jahre die Rohstoffpreise einbrachen und die Einnahmen sanken, geriet das Machtsystem in Gefahr. Da Mobuto die Einnahmen auch nicht in die Unternehmen investierte, verfielen sie zunehmend und produzierten immer weniger. Insbesondere der Osten des Landes gelangte zunehmend unter die Kontrolle wechselnder in- und ausländischer Gruppierungen.</w:t>
            </w:r>
          </w:p>
        </w:tc>
      </w:tr>
    </w:tbl>
    <w:p w:rsidR="00F61D7E" w:rsidRDefault="00F61D7E" w:rsidP="00572A23">
      <w:pPr>
        <w:suppressAutoHyphens/>
        <w:spacing w:line="240" w:lineRule="auto"/>
      </w:pPr>
    </w:p>
    <w:p w:rsidR="00C332D5" w:rsidRDefault="00C332D5" w:rsidP="00572A23">
      <w:pPr>
        <w:suppressAutoHyphens/>
        <w:spacing w:line="240" w:lineRule="auto"/>
      </w:pPr>
      <w:r>
        <w:t>3</w:t>
      </w:r>
      <w:r w:rsidRPr="007A78F6">
        <w:rPr>
          <w:i/>
        </w:rPr>
        <w:t xml:space="preserve">. Die Bedeutung des </w:t>
      </w:r>
      <w:proofErr w:type="spellStart"/>
      <w:r w:rsidRPr="007A78F6">
        <w:rPr>
          <w:i/>
        </w:rPr>
        <w:t>Coltan</w:t>
      </w:r>
      <w:proofErr w:type="spellEnd"/>
      <w:r w:rsidRPr="007A78F6">
        <w:rPr>
          <w:i/>
        </w:rPr>
        <w:t>-Abbaus im Kongo</w:t>
      </w:r>
    </w:p>
    <w:tbl>
      <w:tblPr>
        <w:tblStyle w:val="Tabellengitternetz"/>
        <w:tblW w:w="0" w:type="auto"/>
        <w:tblCellMar>
          <w:top w:w="85" w:type="dxa"/>
          <w:left w:w="85" w:type="dxa"/>
          <w:bottom w:w="85" w:type="dxa"/>
          <w:right w:w="85" w:type="dxa"/>
        </w:tblCellMar>
        <w:tblLook w:val="04A0"/>
      </w:tblPr>
      <w:tblGrid>
        <w:gridCol w:w="9210"/>
      </w:tblGrid>
      <w:tr w:rsidR="00C332D5" w:rsidRPr="00222A08" w:rsidTr="00621837">
        <w:tc>
          <w:tcPr>
            <w:tcW w:w="9210" w:type="dxa"/>
          </w:tcPr>
          <w:p w:rsidR="00C332D5" w:rsidRPr="00222A08" w:rsidRDefault="00C332D5" w:rsidP="00572A23">
            <w:pPr>
              <w:suppressAutoHyphens/>
              <w:spacing w:line="240" w:lineRule="auto"/>
              <w:jc w:val="both"/>
              <w:rPr>
                <w:bCs/>
              </w:rPr>
            </w:pPr>
            <w:r w:rsidRPr="00222A08">
              <w:rPr>
                <w:bCs/>
              </w:rPr>
              <w:t xml:space="preserve">Neben den anderen Rohstoffen wurde in der Demokratischen Republik Kongo auch </w:t>
            </w:r>
            <w:proofErr w:type="spellStart"/>
            <w:r w:rsidRPr="00222A08">
              <w:rPr>
                <w:bCs/>
              </w:rPr>
              <w:t>Coltan</w:t>
            </w:r>
            <w:proofErr w:type="spellEnd"/>
            <w:r w:rsidRPr="00222A08">
              <w:rPr>
                <w:bCs/>
              </w:rPr>
              <w:t xml:space="preserve"> gefördert. Der eigentliche </w:t>
            </w:r>
            <w:proofErr w:type="spellStart"/>
            <w:r w:rsidRPr="00222A08">
              <w:rPr>
                <w:bCs/>
              </w:rPr>
              <w:t>Coltan</w:t>
            </w:r>
            <w:proofErr w:type="spellEnd"/>
            <w:r w:rsidRPr="00222A08">
              <w:rPr>
                <w:bCs/>
              </w:rPr>
              <w:t xml:space="preserve">-Boom setzte aber erst um die Jahrtausendwende ein. Zu diesem Zeitpunkt hatte die belgisch-kongolesische Firma </w:t>
            </w:r>
            <w:proofErr w:type="spellStart"/>
            <w:r w:rsidRPr="00222A08">
              <w:rPr>
                <w:bCs/>
              </w:rPr>
              <w:t>Sominki</w:t>
            </w:r>
            <w:proofErr w:type="spellEnd"/>
            <w:r w:rsidRPr="00222A08">
              <w:rPr>
                <w:bCs/>
              </w:rPr>
              <w:t xml:space="preserve"> ihre </w:t>
            </w:r>
            <w:proofErr w:type="spellStart"/>
            <w:r w:rsidRPr="00222A08">
              <w:rPr>
                <w:bCs/>
              </w:rPr>
              <w:t>Coltan</w:t>
            </w:r>
            <w:proofErr w:type="spellEnd"/>
            <w:r w:rsidRPr="00222A08">
              <w:rPr>
                <w:bCs/>
              </w:rPr>
              <w:t>-Produktion bereits eingestellt und Schürfkonzessionen an Einzelpersonen abgegeben.</w:t>
            </w:r>
          </w:p>
        </w:tc>
      </w:tr>
    </w:tbl>
    <w:p w:rsidR="00C332D5" w:rsidRDefault="00C332D5"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C332D5" w:rsidRPr="00222A08" w:rsidTr="00204056">
        <w:tc>
          <w:tcPr>
            <w:tcW w:w="9210" w:type="dxa"/>
          </w:tcPr>
          <w:p w:rsidR="00C332D5" w:rsidRPr="00222A08" w:rsidRDefault="00C332D5" w:rsidP="00572A23">
            <w:pPr>
              <w:suppressAutoHyphens/>
              <w:spacing w:line="240" w:lineRule="auto"/>
              <w:jc w:val="both"/>
              <w:rPr>
                <w:bCs/>
              </w:rPr>
            </w:pPr>
            <w:r w:rsidRPr="00222A08">
              <w:rPr>
                <w:bCs/>
              </w:rPr>
              <w:t>200</w:t>
            </w:r>
            <w:r w:rsidRPr="00222A08">
              <w:t xml:space="preserve">8 wurden weltweit 1195 t </w:t>
            </w:r>
            <w:proofErr w:type="spellStart"/>
            <w:r w:rsidRPr="00222A08">
              <w:t>Coltan</w:t>
            </w:r>
            <w:proofErr w:type="spellEnd"/>
            <w:r w:rsidRPr="00222A08">
              <w:t xml:space="preserve"> gefördert. Der größte Produzent mit gut einem Drittel der Förderung (435 t) war Australien. Ein knappes Drittel der Produktion (383 t) stammte aus der Demokratischen Republik Kongo. Weitere nennenswerte Förderungen fanden in Brasilien (180 t), in Äthiopien (77 t), in Kanada (45 t) und in Ruanda (42 t) statt.</w:t>
            </w:r>
          </w:p>
        </w:tc>
      </w:tr>
    </w:tbl>
    <w:p w:rsidR="00C332D5" w:rsidRDefault="00C332D5" w:rsidP="00572A23">
      <w:pPr>
        <w:suppressAutoHyphens/>
        <w:spacing w:line="240" w:lineRule="auto"/>
      </w:pPr>
    </w:p>
    <w:tbl>
      <w:tblPr>
        <w:tblStyle w:val="Tabellengitternetz"/>
        <w:tblpPr w:leftFromText="141" w:rightFromText="141" w:vertAnchor="text" w:horzAnchor="margin" w:tblpY="30"/>
        <w:tblW w:w="0" w:type="auto"/>
        <w:tblCellMar>
          <w:top w:w="85" w:type="dxa"/>
          <w:left w:w="85" w:type="dxa"/>
          <w:bottom w:w="85" w:type="dxa"/>
          <w:right w:w="85" w:type="dxa"/>
        </w:tblCellMar>
        <w:tblLook w:val="04A0"/>
      </w:tblPr>
      <w:tblGrid>
        <w:gridCol w:w="9210"/>
      </w:tblGrid>
      <w:tr w:rsidR="00C332D5" w:rsidRPr="00222A08" w:rsidTr="00C332D5">
        <w:tc>
          <w:tcPr>
            <w:tcW w:w="9210" w:type="dxa"/>
          </w:tcPr>
          <w:p w:rsidR="00C332D5" w:rsidRPr="00222A08" w:rsidRDefault="00C332D5" w:rsidP="00572A23">
            <w:pPr>
              <w:suppressAutoHyphens/>
              <w:spacing w:line="240" w:lineRule="auto"/>
              <w:jc w:val="both"/>
              <w:rPr>
                <w:bCs/>
              </w:rPr>
            </w:pPr>
            <w:r w:rsidRPr="00222A08">
              <w:rPr>
                <w:bCs/>
              </w:rPr>
              <w:t xml:space="preserve">In der Demokratischen Republik Kongo wird ein Großteil des </w:t>
            </w:r>
            <w:proofErr w:type="spellStart"/>
            <w:r w:rsidRPr="00222A08">
              <w:rPr>
                <w:bCs/>
              </w:rPr>
              <w:t>Coltans</w:t>
            </w:r>
            <w:proofErr w:type="spellEnd"/>
            <w:r w:rsidRPr="00222A08">
              <w:rPr>
                <w:bCs/>
              </w:rPr>
              <w:t xml:space="preserve"> durch mit Ruanda oder Uganda kooperierende Rebellengruppen oder die ruandische oder ugandische Armee vertrieben. Diese Aktivitäten haben u. a. dazu geführt, dass Uganda 1999 offiziell 69,5 t </w:t>
            </w:r>
            <w:proofErr w:type="spellStart"/>
            <w:r w:rsidRPr="00222A08">
              <w:rPr>
                <w:bCs/>
              </w:rPr>
              <w:t>Coltan</w:t>
            </w:r>
            <w:proofErr w:type="spellEnd"/>
            <w:r w:rsidRPr="00222A08">
              <w:rPr>
                <w:bCs/>
              </w:rPr>
              <w:t xml:space="preserve"> exportiert hat, obwohl es über keine eigene Produktion verfügt.</w:t>
            </w:r>
          </w:p>
        </w:tc>
      </w:tr>
    </w:tbl>
    <w:p w:rsidR="00F61D7E" w:rsidRDefault="00F61D7E" w:rsidP="00572A23">
      <w:pPr>
        <w:suppressAutoHyphens/>
        <w:spacing w:line="240" w:lineRule="auto"/>
      </w:pPr>
    </w:p>
    <w:tbl>
      <w:tblPr>
        <w:tblStyle w:val="Tabellengitternetz"/>
        <w:tblW w:w="0" w:type="auto"/>
        <w:tblCellMar>
          <w:top w:w="85" w:type="dxa"/>
          <w:left w:w="85" w:type="dxa"/>
          <w:bottom w:w="85" w:type="dxa"/>
          <w:right w:w="85" w:type="dxa"/>
        </w:tblCellMar>
        <w:tblLook w:val="04A0"/>
      </w:tblPr>
      <w:tblGrid>
        <w:gridCol w:w="9210"/>
      </w:tblGrid>
      <w:tr w:rsidR="00222A08" w:rsidRPr="00222A08" w:rsidTr="00222A08">
        <w:tc>
          <w:tcPr>
            <w:tcW w:w="9210" w:type="dxa"/>
          </w:tcPr>
          <w:p w:rsidR="00222A08" w:rsidRPr="00222A08" w:rsidRDefault="00222A08" w:rsidP="00572A23">
            <w:pPr>
              <w:suppressAutoHyphens/>
              <w:spacing w:line="240" w:lineRule="auto"/>
              <w:jc w:val="both"/>
              <w:rPr>
                <w:bCs/>
              </w:rPr>
            </w:pPr>
            <w:r w:rsidRPr="00222A08">
              <w:rPr>
                <w:bCs/>
              </w:rPr>
              <w:t xml:space="preserve">Zur Finanzierung von Rebellengruppen eignet sich </w:t>
            </w:r>
            <w:proofErr w:type="spellStart"/>
            <w:r w:rsidRPr="00222A08">
              <w:rPr>
                <w:bCs/>
              </w:rPr>
              <w:t>Coltan</w:t>
            </w:r>
            <w:proofErr w:type="spellEnd"/>
            <w:r w:rsidRPr="00222A08">
              <w:rPr>
                <w:bCs/>
              </w:rPr>
              <w:t xml:space="preserve"> besonders, weil es dezentral und mit wenigen Mitteln abgebaut werden kann. Da es sich bereits in kleinen Mengen wirtschaftlich verwenden lässt, ist es ein geeignetes Schmuggelgut.</w:t>
            </w:r>
          </w:p>
        </w:tc>
      </w:tr>
    </w:tbl>
    <w:p w:rsidR="00F61D7E" w:rsidRDefault="00F61D7E" w:rsidP="00572A23">
      <w:pPr>
        <w:suppressAutoHyphens/>
        <w:spacing w:line="240" w:lineRule="auto"/>
      </w:pPr>
    </w:p>
    <w:p w:rsidR="00A65886" w:rsidRPr="007A78F6" w:rsidRDefault="007A78F6" w:rsidP="00572A23">
      <w:pPr>
        <w:suppressAutoHyphens/>
        <w:spacing w:line="240" w:lineRule="auto"/>
        <w:rPr>
          <w:i/>
        </w:rPr>
      </w:pPr>
      <w:r>
        <w:rPr>
          <w:i/>
        </w:rPr>
        <w:t>Zusammenfassung und Fazit</w:t>
      </w:r>
    </w:p>
    <w:tbl>
      <w:tblPr>
        <w:tblStyle w:val="Tabellengitternetz"/>
        <w:tblW w:w="0" w:type="auto"/>
        <w:tblCellMar>
          <w:top w:w="85" w:type="dxa"/>
          <w:left w:w="85" w:type="dxa"/>
          <w:bottom w:w="85" w:type="dxa"/>
          <w:right w:w="85" w:type="dxa"/>
        </w:tblCellMar>
        <w:tblLook w:val="04A0"/>
      </w:tblPr>
      <w:tblGrid>
        <w:gridCol w:w="9210"/>
      </w:tblGrid>
      <w:tr w:rsidR="00A65886" w:rsidRPr="00222A08" w:rsidTr="00946F69">
        <w:tc>
          <w:tcPr>
            <w:tcW w:w="9210" w:type="dxa"/>
          </w:tcPr>
          <w:p w:rsidR="00A65886" w:rsidRDefault="00A65886" w:rsidP="00572A23">
            <w:pPr>
              <w:suppressAutoHyphens/>
              <w:spacing w:line="240" w:lineRule="auto"/>
              <w:jc w:val="both"/>
              <w:rPr>
                <w:bCs/>
              </w:rPr>
            </w:pPr>
            <w:r>
              <w:rPr>
                <w:bCs/>
              </w:rPr>
              <w:t>…</w:t>
            </w:r>
          </w:p>
          <w:p w:rsidR="00A65886" w:rsidRDefault="00A65886" w:rsidP="00572A23">
            <w:pPr>
              <w:suppressAutoHyphens/>
              <w:spacing w:line="240" w:lineRule="auto"/>
              <w:jc w:val="both"/>
              <w:rPr>
                <w:bCs/>
              </w:rPr>
            </w:pPr>
          </w:p>
          <w:p w:rsidR="00A65886" w:rsidRPr="00222A08" w:rsidRDefault="00A65886" w:rsidP="00572A23">
            <w:pPr>
              <w:suppressAutoHyphens/>
              <w:spacing w:line="240" w:lineRule="auto"/>
              <w:jc w:val="both"/>
              <w:rPr>
                <w:bCs/>
              </w:rPr>
            </w:pPr>
          </w:p>
        </w:tc>
      </w:tr>
    </w:tbl>
    <w:p w:rsidR="00BE7D48" w:rsidRPr="00572A23" w:rsidRDefault="00BE7D48" w:rsidP="00572A23">
      <w:pPr>
        <w:suppressAutoHyphens/>
        <w:spacing w:line="240" w:lineRule="auto"/>
        <w:jc w:val="both"/>
        <w:rPr>
          <w:color w:val="000000" w:themeColor="text1"/>
          <w:sz w:val="16"/>
          <w:szCs w:val="16"/>
        </w:rPr>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Default="00BE7D48" w:rsidP="00572A23">
      <w:pPr>
        <w:suppressAutoHyphens/>
        <w:spacing w:line="240" w:lineRule="auto"/>
        <w:jc w:val="both"/>
      </w:pPr>
    </w:p>
    <w:p w:rsidR="00BE7D48" w:rsidRPr="003B0A6A" w:rsidRDefault="00BE7D48" w:rsidP="00132721">
      <w:pPr>
        <w:spacing w:before="60" w:after="60"/>
        <w:jc w:val="both"/>
      </w:pPr>
      <w:r>
        <w:rPr>
          <w:noProof/>
          <w:lang w:eastAsia="de-DE"/>
        </w:rPr>
        <w:drawing>
          <wp:inline distT="0" distB="0" distL="0" distR="0">
            <wp:extent cx="1227411" cy="429442"/>
            <wp:effectExtent l="19050" t="0" r="0" b="0"/>
            <wp:docPr id="8"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E05424">
        <w:t>, 2017</w:t>
      </w:r>
    </w:p>
    <w:sectPr w:rsidR="00BE7D48" w:rsidRPr="003B0A6A" w:rsidSect="004851BE">
      <w:footerReference w:type="default" r:id="rId14"/>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BB" w:rsidRDefault="00CF10BB" w:rsidP="00837EC7">
      <w:pPr>
        <w:spacing w:line="240" w:lineRule="auto"/>
      </w:pPr>
      <w:r>
        <w:separator/>
      </w:r>
    </w:p>
  </w:endnote>
  <w:endnote w:type="continuationSeparator" w:id="0">
    <w:p w:rsidR="00CF10BB" w:rsidRDefault="00CF10BB"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22A08" w:rsidRDefault="00222A08" w:rsidP="00937B60">
        <w:pPr>
          <w:pStyle w:val="Fuzeile"/>
          <w:tabs>
            <w:tab w:val="clear" w:pos="4536"/>
          </w:tabs>
          <w:jc w:val="center"/>
        </w:pPr>
        <w:r>
          <w:tab/>
        </w:r>
        <w:r w:rsidR="00FD3282">
          <w:fldChar w:fldCharType="begin"/>
        </w:r>
        <w:r w:rsidR="002C78B3">
          <w:instrText xml:space="preserve"> PAGE   \* MERGEFORMAT </w:instrText>
        </w:r>
        <w:r w:rsidR="00FD3282">
          <w:fldChar w:fldCharType="separate"/>
        </w:r>
        <w:r w:rsidR="00E05424">
          <w:rPr>
            <w:noProof/>
          </w:rPr>
          <w:t>1</w:t>
        </w:r>
        <w:r w:rsidR="00FD3282">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222A08" w:rsidRDefault="00222A08" w:rsidP="00937B60">
        <w:pPr>
          <w:pStyle w:val="Fuzeile"/>
          <w:tabs>
            <w:tab w:val="clear" w:pos="4536"/>
          </w:tabs>
          <w:jc w:val="center"/>
        </w:pPr>
        <w:r>
          <w:tab/>
        </w:r>
        <w:r w:rsidR="00FD3282">
          <w:fldChar w:fldCharType="begin"/>
        </w:r>
        <w:r w:rsidR="002C78B3">
          <w:instrText xml:space="preserve"> PAGE   \* MERGEFORMAT </w:instrText>
        </w:r>
        <w:r w:rsidR="00FD3282">
          <w:fldChar w:fldCharType="separate"/>
        </w:r>
        <w:r w:rsidR="00E05424">
          <w:rPr>
            <w:noProof/>
          </w:rPr>
          <w:t>6</w:t>
        </w:r>
        <w:r w:rsidR="00FD3282">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BB" w:rsidRDefault="00CF10BB" w:rsidP="00837EC7">
      <w:pPr>
        <w:spacing w:line="240" w:lineRule="auto"/>
      </w:pPr>
      <w:r>
        <w:separator/>
      </w:r>
    </w:p>
  </w:footnote>
  <w:footnote w:type="continuationSeparator" w:id="0">
    <w:p w:rsidR="00CF10BB" w:rsidRDefault="00CF10BB"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08" w:rsidRPr="00142DFA" w:rsidRDefault="00222A08"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AE7"/>
    <w:multiLevelType w:val="hybridMultilevel"/>
    <w:tmpl w:val="256E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E03522"/>
    <w:multiLevelType w:val="hybridMultilevel"/>
    <w:tmpl w:val="17C43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AD5D60"/>
    <w:multiLevelType w:val="hybridMultilevel"/>
    <w:tmpl w:val="F3549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401620E"/>
    <w:multiLevelType w:val="hybridMultilevel"/>
    <w:tmpl w:val="3D4CED92"/>
    <w:lvl w:ilvl="0" w:tplc="3C0852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7439AA"/>
    <w:multiLevelType w:val="hybridMultilevel"/>
    <w:tmpl w:val="D2989C72"/>
    <w:lvl w:ilvl="0" w:tplc="544685FE">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2"/>
  </w:num>
  <w:num w:numId="4">
    <w:abstractNumId w:val="7"/>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9"/>
  </w:num>
  <w:num w:numId="12">
    <w:abstractNumId w:val="10"/>
  </w:num>
  <w:num w:numId="13">
    <w:abstractNumId w:val="2"/>
  </w:num>
  <w:num w:numId="14">
    <w:abstractNumId w:val="14"/>
  </w:num>
  <w:num w:numId="15">
    <w:abstractNumId w:val="0"/>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CC6E7D"/>
    <w:rsid w:val="00003F1F"/>
    <w:rsid w:val="0004165F"/>
    <w:rsid w:val="00044CFA"/>
    <w:rsid w:val="00052596"/>
    <w:rsid w:val="000558BA"/>
    <w:rsid w:val="000679BF"/>
    <w:rsid w:val="000708BF"/>
    <w:rsid w:val="00070972"/>
    <w:rsid w:val="00074C4B"/>
    <w:rsid w:val="00084040"/>
    <w:rsid w:val="000A0009"/>
    <w:rsid w:val="000A1880"/>
    <w:rsid w:val="000A2A61"/>
    <w:rsid w:val="000A2AD8"/>
    <w:rsid w:val="000A4B8B"/>
    <w:rsid w:val="000D7C43"/>
    <w:rsid w:val="000E3B81"/>
    <w:rsid w:val="000F2F8C"/>
    <w:rsid w:val="00116ACF"/>
    <w:rsid w:val="00130F39"/>
    <w:rsid w:val="00132721"/>
    <w:rsid w:val="00133562"/>
    <w:rsid w:val="00136172"/>
    <w:rsid w:val="00142DFA"/>
    <w:rsid w:val="001474C7"/>
    <w:rsid w:val="00155F4E"/>
    <w:rsid w:val="0016237F"/>
    <w:rsid w:val="001634E6"/>
    <w:rsid w:val="00163D87"/>
    <w:rsid w:val="001663E6"/>
    <w:rsid w:val="00184572"/>
    <w:rsid w:val="00185133"/>
    <w:rsid w:val="00192404"/>
    <w:rsid w:val="0019598F"/>
    <w:rsid w:val="001A71B9"/>
    <w:rsid w:val="001B00F8"/>
    <w:rsid w:val="001B043E"/>
    <w:rsid w:val="001C3197"/>
    <w:rsid w:val="001C5173"/>
    <w:rsid w:val="001E293C"/>
    <w:rsid w:val="001E7774"/>
    <w:rsid w:val="001F319E"/>
    <w:rsid w:val="001F69F0"/>
    <w:rsid w:val="002019B0"/>
    <w:rsid w:val="00202F49"/>
    <w:rsid w:val="00203D25"/>
    <w:rsid w:val="00206E1F"/>
    <w:rsid w:val="002129D5"/>
    <w:rsid w:val="0021665E"/>
    <w:rsid w:val="00216CDD"/>
    <w:rsid w:val="00222A08"/>
    <w:rsid w:val="00226E40"/>
    <w:rsid w:val="0022754A"/>
    <w:rsid w:val="002348B8"/>
    <w:rsid w:val="0024191D"/>
    <w:rsid w:val="002436E1"/>
    <w:rsid w:val="00270847"/>
    <w:rsid w:val="00272897"/>
    <w:rsid w:val="0027492F"/>
    <w:rsid w:val="002775E8"/>
    <w:rsid w:val="00282AC9"/>
    <w:rsid w:val="002A0333"/>
    <w:rsid w:val="002A04B8"/>
    <w:rsid w:val="002A2294"/>
    <w:rsid w:val="002B14FC"/>
    <w:rsid w:val="002B4C76"/>
    <w:rsid w:val="002C78B3"/>
    <w:rsid w:val="002D3F70"/>
    <w:rsid w:val="002D55C9"/>
    <w:rsid w:val="002D6449"/>
    <w:rsid w:val="002E1682"/>
    <w:rsid w:val="002E2227"/>
    <w:rsid w:val="002F3C8C"/>
    <w:rsid w:val="00300E1A"/>
    <w:rsid w:val="0031162B"/>
    <w:rsid w:val="00311876"/>
    <w:rsid w:val="003160EF"/>
    <w:rsid w:val="00321743"/>
    <w:rsid w:val="0032497B"/>
    <w:rsid w:val="00325A3C"/>
    <w:rsid w:val="00334567"/>
    <w:rsid w:val="0035697A"/>
    <w:rsid w:val="00363539"/>
    <w:rsid w:val="00364E2F"/>
    <w:rsid w:val="0036565A"/>
    <w:rsid w:val="00372140"/>
    <w:rsid w:val="00373DD5"/>
    <w:rsid w:val="00374271"/>
    <w:rsid w:val="00381AB2"/>
    <w:rsid w:val="0039499C"/>
    <w:rsid w:val="003A1CB9"/>
    <w:rsid w:val="003A5946"/>
    <w:rsid w:val="003B0A6A"/>
    <w:rsid w:val="003B3094"/>
    <w:rsid w:val="003C3094"/>
    <w:rsid w:val="003E748A"/>
    <w:rsid w:val="003F4234"/>
    <w:rsid w:val="003F5CF4"/>
    <w:rsid w:val="0040115E"/>
    <w:rsid w:val="004072A0"/>
    <w:rsid w:val="00410E6C"/>
    <w:rsid w:val="00411347"/>
    <w:rsid w:val="00421CE5"/>
    <w:rsid w:val="00436E7D"/>
    <w:rsid w:val="00445672"/>
    <w:rsid w:val="004515D0"/>
    <w:rsid w:val="00455ECB"/>
    <w:rsid w:val="00456192"/>
    <w:rsid w:val="00467ABE"/>
    <w:rsid w:val="004851BE"/>
    <w:rsid w:val="0049671A"/>
    <w:rsid w:val="00496D76"/>
    <w:rsid w:val="004A3005"/>
    <w:rsid w:val="004A3863"/>
    <w:rsid w:val="004B5214"/>
    <w:rsid w:val="004C485B"/>
    <w:rsid w:val="004C5504"/>
    <w:rsid w:val="004C5D31"/>
    <w:rsid w:val="004C6D75"/>
    <w:rsid w:val="004D4203"/>
    <w:rsid w:val="004F07F5"/>
    <w:rsid w:val="004F3656"/>
    <w:rsid w:val="004F65E3"/>
    <w:rsid w:val="005018E3"/>
    <w:rsid w:val="005052CB"/>
    <w:rsid w:val="0052235A"/>
    <w:rsid w:val="00523076"/>
    <w:rsid w:val="005243AD"/>
    <w:rsid w:val="0052554E"/>
    <w:rsid w:val="00537A2A"/>
    <w:rsid w:val="00540BF9"/>
    <w:rsid w:val="00544F1D"/>
    <w:rsid w:val="00572A23"/>
    <w:rsid w:val="005825F1"/>
    <w:rsid w:val="005960DF"/>
    <w:rsid w:val="005972B0"/>
    <w:rsid w:val="00597352"/>
    <w:rsid w:val="005A1A93"/>
    <w:rsid w:val="005A291F"/>
    <w:rsid w:val="005A4195"/>
    <w:rsid w:val="005B24BC"/>
    <w:rsid w:val="005C16CC"/>
    <w:rsid w:val="005C4443"/>
    <w:rsid w:val="005C5D96"/>
    <w:rsid w:val="005C60F8"/>
    <w:rsid w:val="005D520A"/>
    <w:rsid w:val="005D6F8F"/>
    <w:rsid w:val="005F16AB"/>
    <w:rsid w:val="005F1ACA"/>
    <w:rsid w:val="00610860"/>
    <w:rsid w:val="00611ACB"/>
    <w:rsid w:val="00611C23"/>
    <w:rsid w:val="006140E1"/>
    <w:rsid w:val="0062274E"/>
    <w:rsid w:val="00633B83"/>
    <w:rsid w:val="00651C35"/>
    <w:rsid w:val="0065323E"/>
    <w:rsid w:val="0066268C"/>
    <w:rsid w:val="006667FC"/>
    <w:rsid w:val="0067049B"/>
    <w:rsid w:val="006741EE"/>
    <w:rsid w:val="00675C9D"/>
    <w:rsid w:val="00677337"/>
    <w:rsid w:val="006840B3"/>
    <w:rsid w:val="00685DC6"/>
    <w:rsid w:val="00692F49"/>
    <w:rsid w:val="006A2192"/>
    <w:rsid w:val="006A22F8"/>
    <w:rsid w:val="006A4D1A"/>
    <w:rsid w:val="006A599E"/>
    <w:rsid w:val="006B198B"/>
    <w:rsid w:val="006B3F5A"/>
    <w:rsid w:val="006C713F"/>
    <w:rsid w:val="006D084A"/>
    <w:rsid w:val="006D4F27"/>
    <w:rsid w:val="006D5EEA"/>
    <w:rsid w:val="006D7163"/>
    <w:rsid w:val="006D719E"/>
    <w:rsid w:val="006D7F9C"/>
    <w:rsid w:val="006E3F71"/>
    <w:rsid w:val="006F79D3"/>
    <w:rsid w:val="007024FB"/>
    <w:rsid w:val="00702CA6"/>
    <w:rsid w:val="0072068D"/>
    <w:rsid w:val="00734CAC"/>
    <w:rsid w:val="007357B6"/>
    <w:rsid w:val="007620BF"/>
    <w:rsid w:val="007621DD"/>
    <w:rsid w:val="007646D8"/>
    <w:rsid w:val="00783B45"/>
    <w:rsid w:val="007A78F6"/>
    <w:rsid w:val="007B7B78"/>
    <w:rsid w:val="007C1D1C"/>
    <w:rsid w:val="007C2D86"/>
    <w:rsid w:val="007C32D6"/>
    <w:rsid w:val="007C3E2C"/>
    <w:rsid w:val="007C4653"/>
    <w:rsid w:val="007C7627"/>
    <w:rsid w:val="007D39B7"/>
    <w:rsid w:val="007D4C38"/>
    <w:rsid w:val="007D6BA1"/>
    <w:rsid w:val="007E7587"/>
    <w:rsid w:val="007E7FDB"/>
    <w:rsid w:val="00800BD6"/>
    <w:rsid w:val="00801579"/>
    <w:rsid w:val="00803717"/>
    <w:rsid w:val="00807E90"/>
    <w:rsid w:val="008109AD"/>
    <w:rsid w:val="008119C5"/>
    <w:rsid w:val="008133DC"/>
    <w:rsid w:val="00820851"/>
    <w:rsid w:val="00821873"/>
    <w:rsid w:val="008232C0"/>
    <w:rsid w:val="00825908"/>
    <w:rsid w:val="00826C8F"/>
    <w:rsid w:val="00837EC7"/>
    <w:rsid w:val="00870688"/>
    <w:rsid w:val="00874A71"/>
    <w:rsid w:val="00875649"/>
    <w:rsid w:val="008757B6"/>
    <w:rsid w:val="00875DAC"/>
    <w:rsid w:val="00887910"/>
    <w:rsid w:val="008A0781"/>
    <w:rsid w:val="008A1768"/>
    <w:rsid w:val="008A3668"/>
    <w:rsid w:val="008A627E"/>
    <w:rsid w:val="008B1D49"/>
    <w:rsid w:val="008B6E6E"/>
    <w:rsid w:val="008C14FA"/>
    <w:rsid w:val="008C69D5"/>
    <w:rsid w:val="008E2ED1"/>
    <w:rsid w:val="008E7D45"/>
    <w:rsid w:val="008F6EE8"/>
    <w:rsid w:val="008F78E6"/>
    <w:rsid w:val="00900401"/>
    <w:rsid w:val="0091277D"/>
    <w:rsid w:val="00915D25"/>
    <w:rsid w:val="00916A92"/>
    <w:rsid w:val="009347E6"/>
    <w:rsid w:val="00937B60"/>
    <w:rsid w:val="00954100"/>
    <w:rsid w:val="0095558E"/>
    <w:rsid w:val="009648B7"/>
    <w:rsid w:val="00964E15"/>
    <w:rsid w:val="00967136"/>
    <w:rsid w:val="00971722"/>
    <w:rsid w:val="00977692"/>
    <w:rsid w:val="00981C56"/>
    <w:rsid w:val="00982827"/>
    <w:rsid w:val="00992F12"/>
    <w:rsid w:val="009A048E"/>
    <w:rsid w:val="009A1D85"/>
    <w:rsid w:val="009A771D"/>
    <w:rsid w:val="009B059D"/>
    <w:rsid w:val="009B69A4"/>
    <w:rsid w:val="009C52EF"/>
    <w:rsid w:val="009C6E2B"/>
    <w:rsid w:val="009F2D04"/>
    <w:rsid w:val="009F42E4"/>
    <w:rsid w:val="009F4EA9"/>
    <w:rsid w:val="00A04843"/>
    <w:rsid w:val="00A17707"/>
    <w:rsid w:val="00A20523"/>
    <w:rsid w:val="00A23BB1"/>
    <w:rsid w:val="00A3652B"/>
    <w:rsid w:val="00A366CC"/>
    <w:rsid w:val="00A420E1"/>
    <w:rsid w:val="00A46E03"/>
    <w:rsid w:val="00A47322"/>
    <w:rsid w:val="00A57E9B"/>
    <w:rsid w:val="00A6279D"/>
    <w:rsid w:val="00A65886"/>
    <w:rsid w:val="00A77A44"/>
    <w:rsid w:val="00A804F8"/>
    <w:rsid w:val="00A81EE6"/>
    <w:rsid w:val="00A828A1"/>
    <w:rsid w:val="00A94DD5"/>
    <w:rsid w:val="00A973E5"/>
    <w:rsid w:val="00AB509B"/>
    <w:rsid w:val="00AC01E6"/>
    <w:rsid w:val="00AD0BEC"/>
    <w:rsid w:val="00AD1F41"/>
    <w:rsid w:val="00AD39E6"/>
    <w:rsid w:val="00AD61B1"/>
    <w:rsid w:val="00AE2D84"/>
    <w:rsid w:val="00AE3A55"/>
    <w:rsid w:val="00AE45F3"/>
    <w:rsid w:val="00AE6B19"/>
    <w:rsid w:val="00B1070A"/>
    <w:rsid w:val="00B160ED"/>
    <w:rsid w:val="00B163D7"/>
    <w:rsid w:val="00B240CC"/>
    <w:rsid w:val="00B323EF"/>
    <w:rsid w:val="00B343C9"/>
    <w:rsid w:val="00B40B28"/>
    <w:rsid w:val="00B45CA9"/>
    <w:rsid w:val="00B47EB7"/>
    <w:rsid w:val="00B542E5"/>
    <w:rsid w:val="00B600D4"/>
    <w:rsid w:val="00B80807"/>
    <w:rsid w:val="00B8596D"/>
    <w:rsid w:val="00B94BD8"/>
    <w:rsid w:val="00BA23F1"/>
    <w:rsid w:val="00BA4EAD"/>
    <w:rsid w:val="00BB7949"/>
    <w:rsid w:val="00BC1ECB"/>
    <w:rsid w:val="00BC763D"/>
    <w:rsid w:val="00BD7E76"/>
    <w:rsid w:val="00BE38D8"/>
    <w:rsid w:val="00BE5E6A"/>
    <w:rsid w:val="00BE7704"/>
    <w:rsid w:val="00BE7D48"/>
    <w:rsid w:val="00BF22FF"/>
    <w:rsid w:val="00BF2994"/>
    <w:rsid w:val="00BF4880"/>
    <w:rsid w:val="00BF6045"/>
    <w:rsid w:val="00C01D4F"/>
    <w:rsid w:val="00C16860"/>
    <w:rsid w:val="00C2632F"/>
    <w:rsid w:val="00C332D5"/>
    <w:rsid w:val="00C41361"/>
    <w:rsid w:val="00C45344"/>
    <w:rsid w:val="00C47F23"/>
    <w:rsid w:val="00C60F31"/>
    <w:rsid w:val="00C6552D"/>
    <w:rsid w:val="00C72982"/>
    <w:rsid w:val="00C87425"/>
    <w:rsid w:val="00C9731F"/>
    <w:rsid w:val="00CA277C"/>
    <w:rsid w:val="00CB3549"/>
    <w:rsid w:val="00CB75FB"/>
    <w:rsid w:val="00CC06D2"/>
    <w:rsid w:val="00CC68EE"/>
    <w:rsid w:val="00CC6E7D"/>
    <w:rsid w:val="00CD1CE8"/>
    <w:rsid w:val="00CD3849"/>
    <w:rsid w:val="00CE2F3A"/>
    <w:rsid w:val="00CF10BB"/>
    <w:rsid w:val="00CF16E9"/>
    <w:rsid w:val="00D0707C"/>
    <w:rsid w:val="00D076A2"/>
    <w:rsid w:val="00D226DE"/>
    <w:rsid w:val="00D24520"/>
    <w:rsid w:val="00D26AF4"/>
    <w:rsid w:val="00D270BC"/>
    <w:rsid w:val="00D321E3"/>
    <w:rsid w:val="00D41BE0"/>
    <w:rsid w:val="00D45831"/>
    <w:rsid w:val="00D47C04"/>
    <w:rsid w:val="00D5644B"/>
    <w:rsid w:val="00D6003D"/>
    <w:rsid w:val="00D824D8"/>
    <w:rsid w:val="00D8553D"/>
    <w:rsid w:val="00D869C0"/>
    <w:rsid w:val="00D87A08"/>
    <w:rsid w:val="00D922C3"/>
    <w:rsid w:val="00D930D2"/>
    <w:rsid w:val="00D947BB"/>
    <w:rsid w:val="00DB4E6F"/>
    <w:rsid w:val="00DB5C8E"/>
    <w:rsid w:val="00DB67C2"/>
    <w:rsid w:val="00DC762A"/>
    <w:rsid w:val="00DD0C30"/>
    <w:rsid w:val="00DE1154"/>
    <w:rsid w:val="00DF308F"/>
    <w:rsid w:val="00DF406E"/>
    <w:rsid w:val="00DF7F97"/>
    <w:rsid w:val="00E05424"/>
    <w:rsid w:val="00E05B35"/>
    <w:rsid w:val="00E06BC5"/>
    <w:rsid w:val="00E16A0E"/>
    <w:rsid w:val="00E16B27"/>
    <w:rsid w:val="00E17560"/>
    <w:rsid w:val="00E220E5"/>
    <w:rsid w:val="00E37824"/>
    <w:rsid w:val="00E37DB0"/>
    <w:rsid w:val="00E448A9"/>
    <w:rsid w:val="00E51EDF"/>
    <w:rsid w:val="00E53B67"/>
    <w:rsid w:val="00E579BF"/>
    <w:rsid w:val="00E62159"/>
    <w:rsid w:val="00E65577"/>
    <w:rsid w:val="00E72519"/>
    <w:rsid w:val="00E74DB9"/>
    <w:rsid w:val="00E80A6C"/>
    <w:rsid w:val="00E84ADD"/>
    <w:rsid w:val="00E85DB9"/>
    <w:rsid w:val="00E86529"/>
    <w:rsid w:val="00EA285D"/>
    <w:rsid w:val="00EA4734"/>
    <w:rsid w:val="00EA5291"/>
    <w:rsid w:val="00EB070D"/>
    <w:rsid w:val="00EB24C3"/>
    <w:rsid w:val="00EC1F75"/>
    <w:rsid w:val="00EC51CF"/>
    <w:rsid w:val="00EC56B7"/>
    <w:rsid w:val="00EC68C4"/>
    <w:rsid w:val="00ED0EC3"/>
    <w:rsid w:val="00ED173A"/>
    <w:rsid w:val="00F02604"/>
    <w:rsid w:val="00F03F6B"/>
    <w:rsid w:val="00F0769B"/>
    <w:rsid w:val="00F15361"/>
    <w:rsid w:val="00F17F92"/>
    <w:rsid w:val="00F222D9"/>
    <w:rsid w:val="00F2257F"/>
    <w:rsid w:val="00F372D1"/>
    <w:rsid w:val="00F5187C"/>
    <w:rsid w:val="00F61D7E"/>
    <w:rsid w:val="00F748F8"/>
    <w:rsid w:val="00F84FEC"/>
    <w:rsid w:val="00F86862"/>
    <w:rsid w:val="00FA0BB9"/>
    <w:rsid w:val="00FB5B39"/>
    <w:rsid w:val="00FC03CD"/>
    <w:rsid w:val="00FC0B4F"/>
    <w:rsid w:val="00FD3282"/>
    <w:rsid w:val="00FD4C4D"/>
    <w:rsid w:val="00FD6B50"/>
    <w:rsid w:val="00FE1B28"/>
    <w:rsid w:val="00FF0764"/>
    <w:rsid w:val="00FF78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table" w:styleId="MittleresRaster2">
    <w:name w:val="Medium Grid 2"/>
    <w:basedOn w:val="NormaleTabelle"/>
    <w:uiPriority w:val="68"/>
    <w:rsid w:val="006D7163"/>
    <w:rPr>
      <w:rFonts w:asciiTheme="majorHAnsi" w:eastAsiaTheme="majorEastAsia" w:hAnsiTheme="majorHAnsi" w:cstheme="majorBidi"/>
      <w:color w:val="000000" w:themeColor="text1"/>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Absatz-Standardschriftart"/>
    <w:uiPriority w:val="99"/>
    <w:unhideWhenUsed/>
    <w:rsid w:val="0062274E"/>
    <w:rPr>
      <w:color w:val="0000FF" w:themeColor="hyperlink"/>
      <w:u w:val="single"/>
    </w:rPr>
  </w:style>
  <w:style w:type="paragraph" w:customStyle="1" w:styleId="Default">
    <w:name w:val="Default"/>
    <w:rsid w:val="00D824D8"/>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uiPriority w:val="99"/>
    <w:semiHidden/>
    <w:unhideWhenUsed/>
    <w:rsid w:val="00D930D2"/>
    <w:pPr>
      <w:spacing w:line="240" w:lineRule="auto"/>
    </w:pPr>
    <w:rPr>
      <w:sz w:val="20"/>
      <w:szCs w:val="20"/>
    </w:rPr>
  </w:style>
  <w:style w:type="character" w:customStyle="1" w:styleId="EndnotentextZchn">
    <w:name w:val="Endnotentext Zchn"/>
    <w:basedOn w:val="Absatz-Standardschriftart"/>
    <w:link w:val="Endnotentext"/>
    <w:uiPriority w:val="99"/>
    <w:semiHidden/>
    <w:rsid w:val="00D930D2"/>
    <w:rPr>
      <w:rFonts w:ascii="Arial" w:hAnsi="Arial"/>
      <w:lang w:eastAsia="en-US"/>
    </w:rPr>
  </w:style>
  <w:style w:type="character" w:styleId="Endnotenzeichen">
    <w:name w:val="endnote reference"/>
    <w:basedOn w:val="Absatz-Standardschriftart"/>
    <w:uiPriority w:val="99"/>
    <w:semiHidden/>
    <w:unhideWhenUsed/>
    <w:rsid w:val="00D930D2"/>
    <w:rPr>
      <w:vertAlign w:val="superscript"/>
    </w:rPr>
  </w:style>
  <w:style w:type="character" w:styleId="BesuchterHyperlink">
    <w:name w:val="FollowedHyperlink"/>
    <w:basedOn w:val="Absatz-Standardschriftart"/>
    <w:uiPriority w:val="99"/>
    <w:semiHidden/>
    <w:unhideWhenUsed/>
    <w:rsid w:val="00D930D2"/>
    <w:rPr>
      <w:color w:val="800080" w:themeColor="followedHyperlink"/>
      <w:u w:val="single"/>
    </w:rPr>
  </w:style>
  <w:style w:type="character" w:styleId="Kommentarzeichen">
    <w:name w:val="annotation reference"/>
    <w:basedOn w:val="Absatz-Standardschriftart"/>
    <w:uiPriority w:val="99"/>
    <w:semiHidden/>
    <w:unhideWhenUsed/>
    <w:rsid w:val="00874A71"/>
    <w:rPr>
      <w:sz w:val="16"/>
      <w:szCs w:val="16"/>
    </w:rPr>
  </w:style>
  <w:style w:type="paragraph" w:styleId="Kommentartext">
    <w:name w:val="annotation text"/>
    <w:basedOn w:val="Standard"/>
    <w:link w:val="KommentartextZchn"/>
    <w:uiPriority w:val="99"/>
    <w:semiHidden/>
    <w:unhideWhenUsed/>
    <w:rsid w:val="00874A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A7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74A71"/>
    <w:rPr>
      <w:b/>
      <w:bCs/>
    </w:rPr>
  </w:style>
  <w:style w:type="character" w:customStyle="1" w:styleId="KommentarthemaZchn">
    <w:name w:val="Kommentarthema Zchn"/>
    <w:basedOn w:val="KommentartextZchn"/>
    <w:link w:val="Kommentarthema"/>
    <w:uiPriority w:val="99"/>
    <w:semiHidden/>
    <w:rsid w:val="00874A7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table" w:styleId="MittleresRaster2">
    <w:name w:val="Medium Grid 2"/>
    <w:basedOn w:val="NormaleTabelle"/>
    <w:uiPriority w:val="68"/>
    <w:rsid w:val="006D7163"/>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Absatz-Standardschriftart"/>
    <w:uiPriority w:val="99"/>
    <w:unhideWhenUsed/>
    <w:rsid w:val="0062274E"/>
    <w:rPr>
      <w:color w:val="0000FF" w:themeColor="hyperlink"/>
      <w:u w:val="single"/>
    </w:rPr>
  </w:style>
  <w:style w:type="paragraph" w:customStyle="1" w:styleId="Default">
    <w:name w:val="Default"/>
    <w:rsid w:val="00D824D8"/>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uiPriority w:val="99"/>
    <w:semiHidden/>
    <w:unhideWhenUsed/>
    <w:rsid w:val="00D930D2"/>
    <w:pPr>
      <w:spacing w:line="240" w:lineRule="auto"/>
    </w:pPr>
    <w:rPr>
      <w:sz w:val="20"/>
      <w:szCs w:val="20"/>
    </w:rPr>
  </w:style>
  <w:style w:type="character" w:customStyle="1" w:styleId="EndnotentextZchn">
    <w:name w:val="Endnotentext Zchn"/>
    <w:basedOn w:val="Absatz-Standardschriftart"/>
    <w:link w:val="Endnotentext"/>
    <w:uiPriority w:val="99"/>
    <w:semiHidden/>
    <w:rsid w:val="00D930D2"/>
    <w:rPr>
      <w:rFonts w:ascii="Arial" w:hAnsi="Arial"/>
      <w:lang w:eastAsia="en-US"/>
    </w:rPr>
  </w:style>
  <w:style w:type="character" w:styleId="Endnotenzeichen">
    <w:name w:val="endnote reference"/>
    <w:basedOn w:val="Absatz-Standardschriftart"/>
    <w:uiPriority w:val="99"/>
    <w:semiHidden/>
    <w:unhideWhenUsed/>
    <w:rsid w:val="00D930D2"/>
    <w:rPr>
      <w:vertAlign w:val="superscript"/>
    </w:rPr>
  </w:style>
  <w:style w:type="character" w:styleId="BesuchterHyperlink">
    <w:name w:val="FollowedHyperlink"/>
    <w:basedOn w:val="Absatz-Standardschriftart"/>
    <w:uiPriority w:val="99"/>
    <w:semiHidden/>
    <w:unhideWhenUsed/>
    <w:rsid w:val="00D930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69611">
      <w:bodyDiv w:val="1"/>
      <w:marLeft w:val="0"/>
      <w:marRight w:val="0"/>
      <w:marTop w:val="0"/>
      <w:marBottom w:val="0"/>
      <w:divBdr>
        <w:top w:val="none" w:sz="0" w:space="0" w:color="auto"/>
        <w:left w:val="none" w:sz="0" w:space="0" w:color="auto"/>
        <w:bottom w:val="none" w:sz="0" w:space="0" w:color="auto"/>
        <w:right w:val="none" w:sz="0" w:space="0" w:color="auto"/>
      </w:divBdr>
      <w:divsChild>
        <w:div w:id="1829443202">
          <w:marLeft w:val="0"/>
          <w:marRight w:val="0"/>
          <w:marTop w:val="0"/>
          <w:marBottom w:val="0"/>
          <w:divBdr>
            <w:top w:val="none" w:sz="0" w:space="0" w:color="auto"/>
            <w:left w:val="none" w:sz="0" w:space="0" w:color="auto"/>
            <w:bottom w:val="none" w:sz="0" w:space="0" w:color="auto"/>
            <w:right w:val="none" w:sz="0" w:space="0" w:color="auto"/>
          </w:divBdr>
        </w:div>
      </w:divsChild>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ongo-kinshasa.de/dokumente/ngo/polinst_colt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otsdam.de/fileadmin/projects/prof-fuhrmann-vwl/comments/unser_handy_ihre_armut_.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E6853-D32A-459B-9002-A4191229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10559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Uschkoreit2</cp:lastModifiedBy>
  <cp:revision>2</cp:revision>
  <cp:lastPrinted>2016-06-09T10:58:00Z</cp:lastPrinted>
  <dcterms:created xsi:type="dcterms:W3CDTF">2017-07-06T08:09:00Z</dcterms:created>
  <dcterms:modified xsi:type="dcterms:W3CDTF">2017-07-06T08:09:00Z</dcterms:modified>
</cp:coreProperties>
</file>