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864" w:rsidRPr="00B60F43" w:rsidRDefault="007B0864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b/>
          <w:sz w:val="28"/>
        </w:rPr>
      </w:pPr>
      <w:r w:rsidRPr="00B60F43">
        <w:rPr>
          <w:b/>
          <w:sz w:val="28"/>
        </w:rPr>
        <w:t>Aufgabenformular</w:t>
      </w:r>
    </w:p>
    <w:p w:rsidR="007B0864" w:rsidRPr="00B60F43" w:rsidRDefault="007B0864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0"/>
        <w:jc w:val="center"/>
        <w:rPr>
          <w:sz w:val="20"/>
        </w:rPr>
      </w:pPr>
    </w:p>
    <w:tbl>
      <w:tblPr>
        <w:tblpPr w:leftFromText="141" w:rightFromText="141" w:vertAnchor="page" w:horzAnchor="margin" w:tblpY="2401"/>
        <w:tblW w:w="0" w:type="auto"/>
        <w:tblLayout w:type="fixed"/>
        <w:tblLook w:val="0000"/>
      </w:tblPr>
      <w:tblGrid>
        <w:gridCol w:w="2747"/>
        <w:gridCol w:w="271"/>
        <w:gridCol w:w="3018"/>
        <w:gridCol w:w="3019"/>
      </w:tblGrid>
      <w:tr w:rsidR="007B0864" w:rsidRPr="00B60F43" w:rsidTr="009377C3">
        <w:trPr>
          <w:cantSplit/>
          <w:trHeight w:val="33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864" w:rsidRPr="00B60F43" w:rsidRDefault="007B0864" w:rsidP="009377C3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Fach</w:t>
            </w:r>
          </w:p>
        </w:tc>
        <w:tc>
          <w:tcPr>
            <w:tcW w:w="63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864" w:rsidRPr="00B60F43" w:rsidRDefault="007B0864" w:rsidP="009377C3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  <w:r w:rsidRPr="00B60F43">
              <w:t>Musik</w:t>
            </w:r>
          </w:p>
        </w:tc>
      </w:tr>
      <w:tr w:rsidR="007B0864" w:rsidRPr="00B60F43" w:rsidTr="009377C3">
        <w:trPr>
          <w:cantSplit/>
          <w:trHeight w:val="33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864" w:rsidRPr="00B60F43" w:rsidRDefault="007B0864" w:rsidP="009377C3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Kompetenzbereich</w:t>
            </w:r>
          </w:p>
        </w:tc>
        <w:tc>
          <w:tcPr>
            <w:tcW w:w="63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864" w:rsidRPr="00B60F43" w:rsidRDefault="007B0864" w:rsidP="009377C3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  <w:r w:rsidRPr="00B60F43">
              <w:t>Wahrnehmen</w:t>
            </w:r>
            <w:r w:rsidR="00E93242">
              <w:t xml:space="preserve"> und Deuten</w:t>
            </w:r>
          </w:p>
        </w:tc>
      </w:tr>
      <w:tr w:rsidR="007B0864" w:rsidRPr="00B60F43" w:rsidTr="009377C3">
        <w:trPr>
          <w:cantSplit/>
          <w:trHeight w:val="33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864" w:rsidRPr="00B60F43" w:rsidRDefault="007B0864" w:rsidP="009377C3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37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Kompetenz</w:t>
            </w:r>
          </w:p>
        </w:tc>
        <w:tc>
          <w:tcPr>
            <w:tcW w:w="63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864" w:rsidRPr="00B60F43" w:rsidRDefault="007B0864" w:rsidP="009377C3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373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  <w:r w:rsidRPr="00B60F43">
              <w:t>Klangliche Merkmale unterscheiden</w:t>
            </w:r>
          </w:p>
        </w:tc>
      </w:tr>
      <w:tr w:rsidR="007B0864" w:rsidRPr="00B60F43" w:rsidTr="009377C3">
        <w:trPr>
          <w:cantSplit/>
          <w:trHeight w:val="33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864" w:rsidRPr="00B60F43" w:rsidRDefault="007B0864" w:rsidP="009377C3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Niveaustufe(n)</w:t>
            </w:r>
          </w:p>
        </w:tc>
        <w:tc>
          <w:tcPr>
            <w:tcW w:w="63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864" w:rsidRPr="00B60F43" w:rsidRDefault="007B0864" w:rsidP="009377C3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  <w:r w:rsidRPr="00B60F43">
              <w:t>G</w:t>
            </w:r>
            <w:r w:rsidR="00E93242">
              <w:t>/H</w:t>
            </w:r>
          </w:p>
        </w:tc>
      </w:tr>
      <w:tr w:rsidR="007B0864" w:rsidRPr="00B60F43" w:rsidTr="009377C3">
        <w:trPr>
          <w:cantSplit/>
          <w:trHeight w:val="52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864" w:rsidRPr="00B60F43" w:rsidRDefault="007B0864" w:rsidP="009377C3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Standard</w:t>
            </w:r>
          </w:p>
        </w:tc>
        <w:tc>
          <w:tcPr>
            <w:tcW w:w="63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864" w:rsidRPr="00B60F43" w:rsidRDefault="007B0864" w:rsidP="00E93242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  <w:r w:rsidRPr="00B60F43">
              <w:t xml:space="preserve">Die </w:t>
            </w:r>
            <w:r>
              <w:t>Schülerinnen und Schüler</w:t>
            </w:r>
            <w:r w:rsidRPr="00B60F43">
              <w:t xml:space="preserve"> können </w:t>
            </w:r>
            <w:r>
              <w:t>Musikausschnitte hi</w:t>
            </w:r>
            <w:r>
              <w:t>n</w:t>
            </w:r>
            <w:r>
              <w:t xml:space="preserve">sichtlich klanglicher, stilistischer und satztechnischer Merkmale beschreiben </w:t>
            </w:r>
          </w:p>
        </w:tc>
      </w:tr>
      <w:tr w:rsidR="007B0864" w:rsidRPr="00B60F43" w:rsidTr="009377C3">
        <w:trPr>
          <w:cantSplit/>
          <w:trHeight w:val="33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864" w:rsidRPr="00B60F43" w:rsidRDefault="007B0864" w:rsidP="009377C3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ggf. Themenfeld</w:t>
            </w:r>
          </w:p>
        </w:tc>
        <w:tc>
          <w:tcPr>
            <w:tcW w:w="63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864" w:rsidRPr="00B60F43" w:rsidRDefault="007B0864" w:rsidP="009377C3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  <w:r w:rsidRPr="00B60F43">
              <w:t>Form und Gestaltung</w:t>
            </w:r>
            <w:r>
              <w:t xml:space="preserve"> – Gestaltungsprinzipien</w:t>
            </w:r>
          </w:p>
        </w:tc>
      </w:tr>
      <w:tr w:rsidR="007B0864" w:rsidRPr="00B60F43" w:rsidTr="009377C3">
        <w:trPr>
          <w:cantSplit/>
          <w:trHeight w:val="80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864" w:rsidRPr="00B60F43" w:rsidRDefault="007B0864" w:rsidP="009377C3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ggf. Bezug Basiscurric</w:t>
            </w:r>
            <w:r w:rsidRPr="00B60F43">
              <w:rPr>
                <w:b/>
              </w:rPr>
              <w:t>u</w:t>
            </w:r>
            <w:r w:rsidRPr="00B60F43">
              <w:rPr>
                <w:b/>
              </w:rPr>
              <w:t>lum (BC) oder übergre</w:t>
            </w:r>
            <w:r w:rsidRPr="00B60F43">
              <w:rPr>
                <w:b/>
              </w:rPr>
              <w:t>i</w:t>
            </w:r>
            <w:r w:rsidRPr="00B60F43">
              <w:rPr>
                <w:b/>
              </w:rPr>
              <w:t>fenden Themen (ÜT)</w:t>
            </w:r>
          </w:p>
        </w:tc>
        <w:tc>
          <w:tcPr>
            <w:tcW w:w="63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864" w:rsidRPr="00B60F43" w:rsidRDefault="007B0864" w:rsidP="009377C3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</w:p>
        </w:tc>
      </w:tr>
      <w:tr w:rsidR="007B0864" w:rsidRPr="00B60F43" w:rsidTr="009377C3">
        <w:trPr>
          <w:cantSplit/>
          <w:trHeight w:val="330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864" w:rsidRPr="00B60F43" w:rsidRDefault="007B0864" w:rsidP="009377C3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ggf. Standard BC</w:t>
            </w:r>
          </w:p>
        </w:tc>
        <w:tc>
          <w:tcPr>
            <w:tcW w:w="63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864" w:rsidRPr="00B60F43" w:rsidRDefault="007B0864" w:rsidP="009377C3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119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</w:p>
        </w:tc>
      </w:tr>
      <w:tr w:rsidR="007B0864" w:rsidRPr="00B60F43" w:rsidTr="009377C3">
        <w:trPr>
          <w:cantSplit/>
          <w:trHeight w:val="330"/>
        </w:trPr>
        <w:tc>
          <w:tcPr>
            <w:tcW w:w="9055" w:type="dxa"/>
            <w:gridSpan w:val="4"/>
            <w:tcBorders>
              <w:top w:val="single" w:sz="4" w:space="0" w:color="808080"/>
              <w:left w:val="single" w:sz="4" w:space="0" w:color="808080"/>
              <w:bottom w:val="none" w:sz="16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864" w:rsidRPr="00B60F43" w:rsidRDefault="007B0864" w:rsidP="009377C3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Aufgabenformat</w:t>
            </w:r>
          </w:p>
        </w:tc>
      </w:tr>
      <w:tr w:rsidR="007B0864" w:rsidRPr="00B60F43" w:rsidTr="009377C3">
        <w:trPr>
          <w:cantSplit/>
          <w:trHeight w:val="296"/>
        </w:trPr>
        <w:tc>
          <w:tcPr>
            <w:tcW w:w="3018" w:type="dxa"/>
            <w:gridSpan w:val="2"/>
            <w:tcBorders>
              <w:top w:val="none" w:sz="16" w:space="0" w:color="000000"/>
              <w:left w:val="single" w:sz="4" w:space="0" w:color="808080"/>
              <w:bottom w:val="single" w:sz="4" w:space="0" w:color="80808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864" w:rsidRPr="00B60F43" w:rsidRDefault="007B0864" w:rsidP="009377C3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84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  <w:sz w:val="24"/>
              </w:rPr>
            </w:pPr>
            <w:r w:rsidRPr="00B60F43">
              <w:rPr>
                <w:b/>
              </w:rPr>
              <w:t>offen</w:t>
            </w:r>
            <w:r w:rsidRPr="00B60F43">
              <w:rPr>
                <w:b/>
                <w:sz w:val="24"/>
              </w:rPr>
              <w:tab/>
            </w:r>
          </w:p>
        </w:tc>
        <w:tc>
          <w:tcPr>
            <w:tcW w:w="3018" w:type="dxa"/>
            <w:tcBorders>
              <w:top w:val="none" w:sz="16" w:space="0" w:color="000000"/>
              <w:left w:val="none" w:sz="16" w:space="0" w:color="000000"/>
              <w:bottom w:val="single" w:sz="4" w:space="0" w:color="80808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864" w:rsidRPr="00B60F43" w:rsidRDefault="007B0864" w:rsidP="009377C3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halboffen</w:t>
            </w:r>
            <w:r w:rsidRPr="00B60F43">
              <w:rPr>
                <w:b/>
              </w:rPr>
              <w:tab/>
              <w:t>X</w:t>
            </w:r>
          </w:p>
        </w:tc>
        <w:tc>
          <w:tcPr>
            <w:tcW w:w="3019" w:type="dxa"/>
            <w:tcBorders>
              <w:top w:val="none" w:sz="16" w:space="0" w:color="000000"/>
              <w:left w:val="none" w:sz="16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864" w:rsidRPr="00B60F43" w:rsidRDefault="007B0864" w:rsidP="009377C3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-19516"/>
                <w:tab w:val="left" w:pos="1735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geschlossen</w:t>
            </w:r>
            <w:r w:rsidRPr="00B60F43">
              <w:rPr>
                <w:b/>
              </w:rPr>
              <w:tab/>
            </w:r>
          </w:p>
        </w:tc>
      </w:tr>
      <w:tr w:rsidR="007B0864" w:rsidRPr="00B60F43" w:rsidTr="009377C3">
        <w:trPr>
          <w:cantSplit/>
          <w:trHeight w:val="259"/>
        </w:trPr>
        <w:tc>
          <w:tcPr>
            <w:tcW w:w="9055" w:type="dxa"/>
            <w:gridSpan w:val="4"/>
            <w:tcBorders>
              <w:top w:val="single" w:sz="4" w:space="0" w:color="808080"/>
              <w:left w:val="single" w:sz="4" w:space="0" w:color="808080"/>
              <w:bottom w:val="none" w:sz="16" w:space="0" w:color="00000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864" w:rsidRPr="00B60F43" w:rsidRDefault="007B0864" w:rsidP="009377C3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Erprobung im Unterricht:</w:t>
            </w:r>
          </w:p>
        </w:tc>
      </w:tr>
      <w:tr w:rsidR="007B0864" w:rsidRPr="00B60F43" w:rsidTr="009377C3">
        <w:trPr>
          <w:cantSplit/>
          <w:trHeight w:val="219"/>
        </w:trPr>
        <w:tc>
          <w:tcPr>
            <w:tcW w:w="3018" w:type="dxa"/>
            <w:gridSpan w:val="2"/>
            <w:tcBorders>
              <w:top w:val="none" w:sz="16" w:space="0" w:color="000000"/>
              <w:left w:val="single" w:sz="4" w:space="0" w:color="808080"/>
              <w:bottom w:val="single" w:sz="4" w:space="0" w:color="80808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864" w:rsidRPr="00B60F43" w:rsidRDefault="007B0864" w:rsidP="009377C3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 xml:space="preserve">Datum </w:t>
            </w:r>
          </w:p>
        </w:tc>
        <w:tc>
          <w:tcPr>
            <w:tcW w:w="3018" w:type="dxa"/>
            <w:tcBorders>
              <w:top w:val="none" w:sz="16" w:space="0" w:color="000000"/>
              <w:left w:val="none" w:sz="16" w:space="0" w:color="000000"/>
              <w:bottom w:val="single" w:sz="4" w:space="0" w:color="808080"/>
              <w:right w:val="none" w:sz="1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864" w:rsidRPr="00B60F43" w:rsidRDefault="007B0864" w:rsidP="009377C3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 xml:space="preserve">Jahrgangsstufe: </w:t>
            </w:r>
          </w:p>
        </w:tc>
        <w:tc>
          <w:tcPr>
            <w:tcW w:w="3019" w:type="dxa"/>
            <w:tcBorders>
              <w:top w:val="none" w:sz="16" w:space="0" w:color="000000"/>
              <w:left w:val="none" w:sz="16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864" w:rsidRPr="00B60F43" w:rsidRDefault="007B0864" w:rsidP="009377C3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 xml:space="preserve">Schulart: </w:t>
            </w:r>
          </w:p>
        </w:tc>
      </w:tr>
      <w:tr w:rsidR="007B0864" w:rsidRPr="00B60F43" w:rsidTr="009377C3">
        <w:trPr>
          <w:cantSplit/>
          <w:trHeight w:val="259"/>
        </w:trPr>
        <w:tc>
          <w:tcPr>
            <w:tcW w:w="274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864" w:rsidRPr="00B60F43" w:rsidRDefault="007B0864" w:rsidP="009377C3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  <w:rPr>
                <w:b/>
              </w:rPr>
            </w:pPr>
            <w:r w:rsidRPr="00B60F43">
              <w:rPr>
                <w:b/>
              </w:rPr>
              <w:t>Verschlagwortung</w:t>
            </w:r>
          </w:p>
        </w:tc>
        <w:tc>
          <w:tcPr>
            <w:tcW w:w="630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B0864" w:rsidRPr="00B60F43" w:rsidRDefault="007B0864" w:rsidP="009377C3">
            <w:pPr>
              <w:pStyle w:val="Standard2"/>
              <w:tabs>
                <w:tab w:val="left" w:pos="-3226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860"/>
                <w:tab w:val="left" w:pos="32568"/>
              </w:tabs>
              <w:spacing w:before="200" w:after="200"/>
            </w:pPr>
            <w:r w:rsidRPr="00B60F43">
              <w:t xml:space="preserve">Klangliche Merkmale; </w:t>
            </w:r>
            <w:r>
              <w:t xml:space="preserve">Klangeindruck; </w:t>
            </w:r>
            <w:r w:rsidRPr="00B60F43">
              <w:t>Hörübung</w:t>
            </w:r>
            <w:r>
              <w:t>; Besetzung; Ensembleformen; Musikstile; Original und Bearbeitung; Coverversion; R</w:t>
            </w:r>
            <w:r>
              <w:t>e</w:t>
            </w:r>
            <w:r>
              <w:t>mix</w:t>
            </w:r>
          </w:p>
        </w:tc>
      </w:tr>
    </w:tbl>
    <w:p w:rsidR="007B0864" w:rsidRDefault="007B0864" w:rsidP="007B0864">
      <w:pPr>
        <w:rPr>
          <w:lang w:val="de-DE" w:eastAsia="de-DE"/>
        </w:rPr>
      </w:pPr>
    </w:p>
    <w:p w:rsidR="007B0864" w:rsidRPr="00A52709" w:rsidRDefault="007B0864" w:rsidP="007B0864">
      <w:pPr>
        <w:rPr>
          <w:lang w:val="de-DE" w:eastAsia="de-DE"/>
        </w:rPr>
        <w:sectPr w:rsidR="007B0864" w:rsidRPr="00A52709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417" w:right="1417" w:bottom="1134" w:left="1417" w:header="708" w:footer="708" w:gutter="0"/>
          <w:cols w:space="720"/>
        </w:sectPr>
      </w:pPr>
    </w:p>
    <w:p w:rsidR="007B0864" w:rsidRPr="00246148" w:rsidRDefault="007B0864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b/>
          <w:szCs w:val="22"/>
        </w:rPr>
      </w:pPr>
      <w:r w:rsidRPr="00246148">
        <w:rPr>
          <w:b/>
          <w:szCs w:val="22"/>
        </w:rPr>
        <w:lastRenderedPageBreak/>
        <w:t xml:space="preserve">Aufgabe: </w:t>
      </w:r>
    </w:p>
    <w:p w:rsidR="00246148" w:rsidRP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b/>
          <w:szCs w:val="22"/>
        </w:rPr>
      </w:pPr>
    </w:p>
    <w:p w:rsidR="007B0864" w:rsidRPr="00246148" w:rsidRDefault="007B0864" w:rsidP="007B0864">
      <w:pPr>
        <w:pStyle w:val="Standard1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before="60" w:after="60"/>
        <w:rPr>
          <w:szCs w:val="22"/>
        </w:rPr>
      </w:pPr>
      <w:r w:rsidRPr="00246148">
        <w:rPr>
          <w:szCs w:val="22"/>
        </w:rPr>
        <w:t>Du hörst drei verschiedene Versionen von „Billy Jean“. Vergleiche sie miteinander. Berücksichtige vor allem Besetzung und „Sound“, Tempo und Rhythmus sowie den Gesangsstil. Welchen Stilrichtungen sind die verschiedenen Versionen zuzuor</w:t>
      </w:r>
      <w:r w:rsidRPr="00246148">
        <w:rPr>
          <w:szCs w:val="22"/>
        </w:rPr>
        <w:t>d</w:t>
      </w:r>
      <w:r w:rsidRPr="00246148">
        <w:rPr>
          <w:szCs w:val="22"/>
        </w:rPr>
        <w:t>nen?</w:t>
      </w:r>
    </w:p>
    <w:p w:rsidR="007B0864" w:rsidRPr="00246148" w:rsidRDefault="007B0864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szCs w:val="22"/>
        </w:rPr>
      </w:pPr>
    </w:p>
    <w:p w:rsidR="007B0864" w:rsidRPr="00246148" w:rsidRDefault="007B0864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b/>
          <w:szCs w:val="22"/>
        </w:rPr>
      </w:pPr>
      <w:r w:rsidRPr="00246148">
        <w:rPr>
          <w:b/>
          <w:szCs w:val="22"/>
        </w:rPr>
        <w:t>Material:</w:t>
      </w:r>
    </w:p>
    <w:p w:rsidR="00246148" w:rsidRP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b/>
          <w:szCs w:val="22"/>
        </w:rPr>
      </w:pPr>
    </w:p>
    <w:p w:rsidR="007B0864" w:rsidRPr="00246148" w:rsidRDefault="007B0864" w:rsidP="007B0864">
      <w:pPr>
        <w:pStyle w:val="Standard1"/>
        <w:tabs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  <w:tab w:val="left" w:pos="8566"/>
        </w:tabs>
        <w:spacing w:before="60" w:after="60"/>
        <w:rPr>
          <w:szCs w:val="22"/>
        </w:rPr>
      </w:pPr>
      <w:r w:rsidRPr="00246148">
        <w:rPr>
          <w:szCs w:val="22"/>
        </w:rPr>
        <w:t xml:space="preserve">Hörbeispiele: drei Versionen von Michael Jacksons „Billy Jean“ (Original 1982; Punk-Version von </w:t>
      </w:r>
      <w:r w:rsidRPr="00246148">
        <w:rPr>
          <w:i/>
          <w:szCs w:val="22"/>
        </w:rPr>
        <w:t>The Bates</w:t>
      </w:r>
      <w:r w:rsidRPr="00246148">
        <w:rPr>
          <w:szCs w:val="22"/>
        </w:rPr>
        <w:t xml:space="preserve">, 1995; Reggae-Version der </w:t>
      </w:r>
      <w:r w:rsidRPr="00246148">
        <w:rPr>
          <w:i/>
          <w:szCs w:val="22"/>
        </w:rPr>
        <w:t>Easy Star All-Stars</w:t>
      </w:r>
      <w:r w:rsidRPr="00246148">
        <w:rPr>
          <w:szCs w:val="22"/>
        </w:rPr>
        <w:t>, 2012), A</w:t>
      </w:r>
      <w:r w:rsidRPr="00246148">
        <w:rPr>
          <w:szCs w:val="22"/>
        </w:rPr>
        <w:t>r</w:t>
      </w:r>
      <w:r w:rsidRPr="00246148">
        <w:rPr>
          <w:szCs w:val="22"/>
        </w:rPr>
        <w:t>beitsblatt</w:t>
      </w:r>
    </w:p>
    <w:p w:rsidR="007B0864" w:rsidRDefault="007B0864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4"/>
          <w:szCs w:val="24"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4"/>
          <w:szCs w:val="24"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4"/>
          <w:szCs w:val="24"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4"/>
          <w:szCs w:val="24"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4"/>
          <w:szCs w:val="24"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4"/>
          <w:szCs w:val="24"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4"/>
          <w:szCs w:val="24"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4"/>
          <w:szCs w:val="24"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4"/>
          <w:szCs w:val="24"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4"/>
          <w:szCs w:val="24"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4"/>
          <w:szCs w:val="24"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4"/>
          <w:szCs w:val="24"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4"/>
          <w:szCs w:val="24"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4"/>
          <w:szCs w:val="24"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4"/>
          <w:szCs w:val="24"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4"/>
          <w:szCs w:val="24"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4"/>
          <w:szCs w:val="24"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4"/>
          <w:szCs w:val="24"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4"/>
          <w:szCs w:val="24"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4"/>
          <w:szCs w:val="24"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4"/>
          <w:szCs w:val="24"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4"/>
          <w:szCs w:val="24"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4"/>
          <w:szCs w:val="24"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4"/>
          <w:szCs w:val="24"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4"/>
          <w:szCs w:val="24"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4"/>
          <w:szCs w:val="24"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4"/>
          <w:szCs w:val="24"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4"/>
          <w:szCs w:val="24"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4"/>
          <w:szCs w:val="24"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4"/>
          <w:szCs w:val="24"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4"/>
          <w:szCs w:val="24"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4"/>
          <w:szCs w:val="24"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4"/>
          <w:szCs w:val="24"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4"/>
          <w:szCs w:val="24"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4"/>
          <w:szCs w:val="24"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 w:val="24"/>
          <w:szCs w:val="24"/>
        </w:rPr>
      </w:pPr>
    </w:p>
    <w:p w:rsidR="007B0864" w:rsidRPr="00246148" w:rsidRDefault="005627EB" w:rsidP="00246148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b/>
          <w:szCs w:val="22"/>
        </w:rPr>
      </w:pPr>
      <w:r>
        <w:rPr>
          <w:noProof/>
        </w:rPr>
        <w:drawing>
          <wp:inline distT="0" distB="0" distL="0" distR="0">
            <wp:extent cx="1226185" cy="426085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6148">
        <w:rPr>
          <w:noProof/>
        </w:rPr>
        <w:t xml:space="preserve"> LISUM</w:t>
      </w:r>
      <w:r w:rsidR="00246148">
        <w:rPr>
          <w:b/>
          <w:sz w:val="24"/>
          <w:szCs w:val="24"/>
        </w:rPr>
        <w:br w:type="page"/>
      </w:r>
      <w:r w:rsidR="007B0864" w:rsidRPr="00246148">
        <w:rPr>
          <w:b/>
          <w:szCs w:val="22"/>
        </w:rPr>
        <w:lastRenderedPageBreak/>
        <w:t>Erwartungshorizont:</w:t>
      </w:r>
    </w:p>
    <w:p w:rsidR="00246148" w:rsidRP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60" w:after="60"/>
        <w:rPr>
          <w:b/>
          <w:szCs w:val="22"/>
        </w:rPr>
      </w:pPr>
    </w:p>
    <w:p w:rsidR="007B0864" w:rsidRPr="00246148" w:rsidRDefault="007B0864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Cs w:val="22"/>
        </w:rPr>
      </w:pPr>
      <w:r w:rsidRPr="00246148">
        <w:rPr>
          <w:szCs w:val="22"/>
        </w:rPr>
        <w:t>Die Schülerinnen und Schüler vollziehen nach, dass es sich bei den drei Hörbeispielen um verschiedene Versionen desselben Songs handelt. Sie identifizieren zentrale Gemeinsamkeiten (Text, Mel</w:t>
      </w:r>
      <w:r w:rsidRPr="00246148">
        <w:rPr>
          <w:szCs w:val="22"/>
        </w:rPr>
        <w:t>o</w:t>
      </w:r>
      <w:r w:rsidRPr="00246148">
        <w:rPr>
          <w:szCs w:val="22"/>
        </w:rPr>
        <w:t>die der Gesangsstimme, Bass-Riff) und Unterschiede (Besetzung, „Sound“, Tempo, „Groove“, Gesangsstil). Sie ordnen die verschiedenen Versionen der jeweiligen Sti</w:t>
      </w:r>
      <w:r w:rsidRPr="00246148">
        <w:rPr>
          <w:szCs w:val="22"/>
        </w:rPr>
        <w:t>l</w:t>
      </w:r>
      <w:r w:rsidRPr="00246148">
        <w:rPr>
          <w:szCs w:val="22"/>
        </w:rPr>
        <w:t>richtung zu (Pop, Punk, Reggae) und begründen ihre Antworten, indem sie sich auf die jeweils stilprägenden Merkmale beziehen.</w:t>
      </w:r>
    </w:p>
    <w:p w:rsidR="007B0864" w:rsidRPr="00246148" w:rsidRDefault="007B0864" w:rsidP="007B086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sz w:val="22"/>
          <w:szCs w:val="22"/>
          <w:lang w:val="de-DE"/>
        </w:rPr>
      </w:pPr>
    </w:p>
    <w:p w:rsidR="007B0864" w:rsidRPr="00246148" w:rsidRDefault="007B0864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Cs w:val="22"/>
        </w:rPr>
      </w:pPr>
    </w:p>
    <w:p w:rsidR="007B0864" w:rsidRPr="00246148" w:rsidRDefault="007B0864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Cs w:val="22"/>
        </w:rPr>
      </w:pPr>
      <w:r w:rsidRPr="00246148">
        <w:rPr>
          <w:szCs w:val="22"/>
        </w:rPr>
        <w:t>Thema: Original und Bearbeitung</w:t>
      </w:r>
    </w:p>
    <w:p w:rsidR="007B0864" w:rsidRPr="00246148" w:rsidRDefault="007B0864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szCs w:val="22"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</w:rPr>
      </w:pPr>
    </w:p>
    <w:p w:rsidR="00246148" w:rsidRDefault="00246148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noProof/>
        </w:rPr>
      </w:pPr>
    </w:p>
    <w:p w:rsidR="007B0864" w:rsidRPr="00B60F43" w:rsidRDefault="005627EB" w:rsidP="007B0864">
      <w:pPr>
        <w:pStyle w:val="Standard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</w:pPr>
      <w:r>
        <w:rPr>
          <w:noProof/>
        </w:rPr>
        <w:drawing>
          <wp:inline distT="0" distB="0" distL="0" distR="0">
            <wp:extent cx="1226185" cy="426085"/>
            <wp:effectExtent l="19050" t="0" r="0" b="0"/>
            <wp:docPr id="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42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6148">
        <w:rPr>
          <w:noProof/>
        </w:rPr>
        <w:t xml:space="preserve"> LISUM</w:t>
      </w:r>
    </w:p>
    <w:sectPr w:rsidR="007B0864" w:rsidRPr="00B60F43" w:rsidSect="001F2D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E41" w:rsidRDefault="00734E41">
      <w:r>
        <w:separator/>
      </w:r>
    </w:p>
  </w:endnote>
  <w:endnote w:type="continuationSeparator" w:id="0">
    <w:p w:rsidR="00734E41" w:rsidRDefault="00734E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C3" w:rsidRDefault="009377C3">
    <w:pPr>
      <w:pStyle w:val="Fuzeile1"/>
      <w:tabs>
        <w:tab w:val="clear" w:pos="4536"/>
        <w:tab w:val="clear" w:pos="9072"/>
        <w:tab w:val="right" w:pos="9046"/>
      </w:tabs>
      <w:jc w:val="center"/>
      <w:rPr>
        <w:rFonts w:ascii="Times New Roman" w:eastAsia="Times New Roman" w:hAnsi="Times New Roman"/>
        <w:color w:val="auto"/>
        <w:sz w:val="20"/>
        <w:lang w:val="de-DE" w:eastAsia="de-DE"/>
      </w:rPr>
    </w:pPr>
    <w:r>
      <w:tab/>
    </w:r>
    <w:fldSimple w:instr=" PAGE ">
      <w:r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C3" w:rsidRDefault="009377C3">
    <w:pPr>
      <w:pStyle w:val="Fuzeile1"/>
      <w:tabs>
        <w:tab w:val="clear" w:pos="4536"/>
        <w:tab w:val="clear" w:pos="9072"/>
        <w:tab w:val="right" w:pos="9046"/>
      </w:tabs>
      <w:jc w:val="center"/>
      <w:rPr>
        <w:rFonts w:ascii="Times New Roman" w:eastAsia="Times New Roman" w:hAnsi="Times New Roman"/>
        <w:color w:val="auto"/>
        <w:sz w:val="20"/>
        <w:lang w:val="de-DE" w:eastAsia="de-DE"/>
      </w:rPr>
    </w:pPr>
    <w:r>
      <w:tab/>
    </w:r>
    <w:fldSimple w:instr=" PAGE ">
      <w:r w:rsidR="005627E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E41" w:rsidRDefault="00734E41">
      <w:r>
        <w:separator/>
      </w:r>
    </w:p>
  </w:footnote>
  <w:footnote w:type="continuationSeparator" w:id="0">
    <w:p w:rsidR="00734E41" w:rsidRDefault="00734E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C3" w:rsidRDefault="005627EB">
    <w:pPr>
      <w:pStyle w:val="Kopfzeile1"/>
      <w:tabs>
        <w:tab w:val="clear" w:pos="9072"/>
        <w:tab w:val="right" w:pos="9046"/>
      </w:tabs>
      <w:spacing w:line="240" w:lineRule="auto"/>
      <w:jc w:val="right"/>
      <w:rPr>
        <w:lang w:val="de-DE"/>
      </w:rPr>
    </w:pPr>
    <w:r>
      <w:rPr>
        <w:noProof/>
      </w:rPr>
      <w:drawing>
        <wp:inline distT="0" distB="0" distL="0" distR="0">
          <wp:extent cx="1107440" cy="430530"/>
          <wp:effectExtent l="1905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430530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7C3" w:rsidRDefault="009377C3">
    <w:pPr>
      <w:pStyle w:val="Kopfzeile1"/>
      <w:tabs>
        <w:tab w:val="clear" w:pos="9072"/>
        <w:tab w:val="right" w:pos="9046"/>
      </w:tabs>
      <w:spacing w:line="240" w:lineRule="auto"/>
      <w:jc w:val="right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61"/>
    <w:multiLevelType w:val="multilevel"/>
    <w:tmpl w:val="894EE8D3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">
    <w:nsid w:val="00000062"/>
    <w:multiLevelType w:val="multilevel"/>
    <w:tmpl w:val="894EE8D4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2">
    <w:nsid w:val="00000063"/>
    <w:multiLevelType w:val="multilevel"/>
    <w:tmpl w:val="894EE8D5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3">
    <w:nsid w:val="00000064"/>
    <w:multiLevelType w:val="multilevel"/>
    <w:tmpl w:val="894EE8D6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4">
    <w:nsid w:val="00000065"/>
    <w:multiLevelType w:val="multilevel"/>
    <w:tmpl w:val="894EE8D7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5">
    <w:nsid w:val="00000066"/>
    <w:multiLevelType w:val="multilevel"/>
    <w:tmpl w:val="894EE8D8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6">
    <w:nsid w:val="00000067"/>
    <w:multiLevelType w:val="multilevel"/>
    <w:tmpl w:val="894EE8D9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7">
    <w:nsid w:val="00000068"/>
    <w:multiLevelType w:val="multilevel"/>
    <w:tmpl w:val="894EE8DA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8">
    <w:nsid w:val="00000069"/>
    <w:multiLevelType w:val="multilevel"/>
    <w:tmpl w:val="894EE8DB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9">
    <w:nsid w:val="0000006A"/>
    <w:multiLevelType w:val="multilevel"/>
    <w:tmpl w:val="894EE8DC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0">
    <w:nsid w:val="0000006B"/>
    <w:multiLevelType w:val="multilevel"/>
    <w:tmpl w:val="894EE8DD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1">
    <w:nsid w:val="0000006C"/>
    <w:multiLevelType w:val="multilevel"/>
    <w:tmpl w:val="894EE8DE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2">
    <w:nsid w:val="0000006D"/>
    <w:multiLevelType w:val="multilevel"/>
    <w:tmpl w:val="894EE8DF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3">
    <w:nsid w:val="0000006E"/>
    <w:multiLevelType w:val="multilevel"/>
    <w:tmpl w:val="894EE8E0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4">
    <w:nsid w:val="0000006F"/>
    <w:multiLevelType w:val="multilevel"/>
    <w:tmpl w:val="894EE8E1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15">
    <w:nsid w:val="00000070"/>
    <w:multiLevelType w:val="multilevel"/>
    <w:tmpl w:val="894EE8E2"/>
    <w:lvl w:ilvl="0">
      <w:numFmt w:val="bullet"/>
      <w:lvlText w:val="­"/>
      <w:lvlJc w:val="left"/>
      <w:pPr>
        <w:tabs>
          <w:tab w:val="num" w:pos="227"/>
        </w:tabs>
        <w:ind w:left="227" w:firstLine="57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3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7B0864"/>
    <w:rsid w:val="001F2D26"/>
    <w:rsid w:val="00246148"/>
    <w:rsid w:val="00425375"/>
    <w:rsid w:val="005627EB"/>
    <w:rsid w:val="005C0551"/>
    <w:rsid w:val="00734E41"/>
    <w:rsid w:val="007A13D0"/>
    <w:rsid w:val="007B0864"/>
    <w:rsid w:val="009377C3"/>
    <w:rsid w:val="00B614A4"/>
    <w:rsid w:val="00DD45DF"/>
    <w:rsid w:val="00E93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086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opfzeile1">
    <w:name w:val="Kopfzeile1"/>
    <w:rsid w:val="007B0864"/>
    <w:pPr>
      <w:tabs>
        <w:tab w:val="center" w:pos="4536"/>
        <w:tab w:val="right" w:pos="9072"/>
      </w:tabs>
      <w:spacing w:line="276" w:lineRule="auto"/>
    </w:pPr>
    <w:rPr>
      <w:rFonts w:ascii="Arial" w:eastAsia="ヒラギノ角ゴ Pro W3" w:hAnsi="Arial"/>
      <w:color w:val="000000"/>
      <w:sz w:val="22"/>
    </w:rPr>
  </w:style>
  <w:style w:type="paragraph" w:customStyle="1" w:styleId="Fuzeile1">
    <w:name w:val="Fußzeile1"/>
    <w:rsid w:val="007B0864"/>
    <w:pPr>
      <w:tabs>
        <w:tab w:val="center" w:pos="4536"/>
        <w:tab w:val="right" w:pos="9072"/>
      </w:tabs>
      <w:spacing w:line="276" w:lineRule="auto"/>
    </w:pPr>
    <w:rPr>
      <w:rFonts w:ascii="Arial" w:eastAsia="ヒラギノ角ゴ Pro W3" w:hAnsi="Arial"/>
      <w:color w:val="000000"/>
      <w:sz w:val="22"/>
    </w:rPr>
  </w:style>
  <w:style w:type="paragraph" w:customStyle="1" w:styleId="Standard2">
    <w:name w:val="Standard2"/>
    <w:rsid w:val="007B0864"/>
    <w:pPr>
      <w:spacing w:line="276" w:lineRule="auto"/>
    </w:pPr>
    <w:rPr>
      <w:rFonts w:ascii="Arial" w:eastAsia="ヒラギノ角ゴ Pro W3" w:hAnsi="Arial"/>
      <w:color w:val="000000"/>
      <w:sz w:val="22"/>
    </w:rPr>
  </w:style>
  <w:style w:type="paragraph" w:customStyle="1" w:styleId="FreieForm">
    <w:name w:val="Freie Form"/>
    <w:rsid w:val="007B0864"/>
    <w:rPr>
      <w:rFonts w:ascii="Lucida Grande" w:eastAsia="ヒラギノ角ゴ Pro W3" w:hAnsi="Lucida Grande"/>
      <w:color w:val="000000"/>
      <w:lang w:val="de-DE"/>
    </w:rPr>
  </w:style>
  <w:style w:type="paragraph" w:customStyle="1" w:styleId="Standard1">
    <w:name w:val="Standard1"/>
    <w:rsid w:val="007B0864"/>
    <w:pPr>
      <w:spacing w:line="276" w:lineRule="auto"/>
    </w:pPr>
    <w:rPr>
      <w:rFonts w:ascii="Arial" w:eastAsia="ヒラギノ角ゴ Pro W3" w:hAnsi="Arial"/>
      <w:color w:val="000000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08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0864"/>
    <w:rPr>
      <w:rFonts w:ascii="Tahoma" w:eastAsia="Times New Roman" w:hAnsi="Tahoma" w:cs="Tahoma"/>
      <w:sz w:val="16"/>
      <w:szCs w:val="16"/>
      <w:lang w:val="en-US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14A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B614A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semiHidden/>
    <w:unhideWhenUsed/>
    <w:rsid w:val="00B614A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B614A4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1512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Wittram</dc:creator>
  <cp:lastModifiedBy>Haertel</cp:lastModifiedBy>
  <cp:revision>2</cp:revision>
  <cp:lastPrinted>2015-12-14T12:18:00Z</cp:lastPrinted>
  <dcterms:created xsi:type="dcterms:W3CDTF">2015-12-15T08:22:00Z</dcterms:created>
  <dcterms:modified xsi:type="dcterms:W3CDTF">2015-12-15T08:22:00Z</dcterms:modified>
</cp:coreProperties>
</file>