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5" w:rsidRPr="008119C5" w:rsidRDefault="00FE23F5" w:rsidP="00FE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FE23F5" w:rsidRPr="008119C5" w:rsidRDefault="00FE23F5" w:rsidP="00FE23F5">
      <w:pPr>
        <w:spacing w:after="120"/>
        <w:jc w:val="center"/>
        <w:rPr>
          <w:sz w:val="20"/>
          <w:szCs w:val="20"/>
        </w:rPr>
      </w:pPr>
    </w:p>
    <w:p w:rsidR="00FE23F5" w:rsidRDefault="00FE23F5" w:rsidP="00FE23F5">
      <w:pPr>
        <w:spacing w:after="120"/>
      </w:pPr>
      <w:r w:rsidRPr="008119C5">
        <w:t>Standardillustrierende Aufgaben veranschaulichen beispielhaft Standards für Lehrkräfte, Lernende und Eltern.</w:t>
      </w:r>
    </w:p>
    <w:p w:rsidR="00FE23F5" w:rsidRPr="008119C5" w:rsidRDefault="00FE23F5" w:rsidP="00FE23F5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FE23F5" w:rsidRPr="008119C5" w:rsidTr="00CF4EA0">
        <w:tc>
          <w:tcPr>
            <w:tcW w:w="2802" w:type="dxa"/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FE23F5" w:rsidRPr="00202F49" w:rsidRDefault="00FE23F5" w:rsidP="00CF4EA0">
            <w:pPr>
              <w:spacing w:before="200" w:after="200"/>
            </w:pPr>
            <w:r>
              <w:t>Musik</w:t>
            </w:r>
          </w:p>
        </w:tc>
      </w:tr>
      <w:tr w:rsidR="00FE23F5" w:rsidRPr="008119C5" w:rsidTr="00CF4EA0">
        <w:tc>
          <w:tcPr>
            <w:tcW w:w="2802" w:type="dxa"/>
          </w:tcPr>
          <w:p w:rsidR="00FE23F5" w:rsidRPr="009B046A" w:rsidRDefault="00FE23F5" w:rsidP="00CF4EA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FE23F5" w:rsidRPr="00202F49" w:rsidRDefault="00511FF1" w:rsidP="00CF4EA0">
            <w:pPr>
              <w:spacing w:before="200" w:after="200"/>
            </w:pPr>
            <w:r>
              <w:t>Diese Musik berührt mich</w:t>
            </w:r>
          </w:p>
        </w:tc>
      </w:tr>
      <w:tr w:rsidR="00FE23F5" w:rsidRPr="008119C5" w:rsidTr="00CF4EA0">
        <w:tc>
          <w:tcPr>
            <w:tcW w:w="2802" w:type="dxa"/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E23F5" w:rsidRPr="00202F49" w:rsidRDefault="00FE23F5" w:rsidP="00CF4EA0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FE23F5" w:rsidRPr="008119C5" w:rsidTr="00CF4EA0">
        <w:tc>
          <w:tcPr>
            <w:tcW w:w="2802" w:type="dxa"/>
          </w:tcPr>
          <w:p w:rsidR="00FE23F5" w:rsidRPr="008119C5" w:rsidRDefault="00FE23F5" w:rsidP="00CF4EA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E23F5" w:rsidRPr="008A1768" w:rsidRDefault="00FE23F5" w:rsidP="00CF4EA0">
            <w:pPr>
              <w:spacing w:before="200" w:after="200"/>
            </w:pPr>
            <w:r>
              <w:t>Musikalische Identität reflektieren</w:t>
            </w:r>
          </w:p>
        </w:tc>
      </w:tr>
      <w:tr w:rsidR="00FE23F5" w:rsidRPr="008119C5" w:rsidTr="00CF4EA0">
        <w:tc>
          <w:tcPr>
            <w:tcW w:w="2802" w:type="dxa"/>
          </w:tcPr>
          <w:p w:rsidR="00FE23F5" w:rsidRPr="008119C5" w:rsidRDefault="00FE23F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FE23F5" w:rsidRPr="008A1768" w:rsidRDefault="00F51343" w:rsidP="00CF4EA0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FE23F5" w:rsidRPr="008119C5" w:rsidTr="00CF4EA0">
        <w:tc>
          <w:tcPr>
            <w:tcW w:w="2802" w:type="dxa"/>
          </w:tcPr>
          <w:p w:rsidR="00FE23F5" w:rsidRDefault="00FE23F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C6F74" w:rsidRPr="009C6F74" w:rsidRDefault="009C6F74" w:rsidP="009C6F74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9C6F74">
              <w:rPr>
                <w:rFonts w:eastAsia="Times New Roman" w:cs="Arial"/>
                <w:lang w:eastAsia="de-DE"/>
              </w:rPr>
              <w:t>individuelle Interessen vertiefen, musikalische Lernanliegen formulieren und Strategien für deren Umsetzung entwickeln</w:t>
            </w:r>
          </w:p>
          <w:p w:rsidR="00FE23F5" w:rsidRPr="008A1768" w:rsidRDefault="00FE23F5" w:rsidP="00CF4EA0">
            <w:pPr>
              <w:spacing w:line="240" w:lineRule="auto"/>
            </w:pPr>
          </w:p>
        </w:tc>
      </w:tr>
      <w:tr w:rsidR="00FE23F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E23F5" w:rsidRPr="008119C5" w:rsidRDefault="00FE23F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E23F5" w:rsidRPr="00202F49" w:rsidRDefault="00FE23F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FE23F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E23F5" w:rsidRDefault="00FE23F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E23F5" w:rsidRPr="00202F49" w:rsidRDefault="00FE23F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FE23F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E23F5" w:rsidRDefault="00FE23F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E23F5" w:rsidRPr="00202F49" w:rsidRDefault="00FE23F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FE23F5" w:rsidRPr="008119C5" w:rsidTr="00CF4EA0">
        <w:tc>
          <w:tcPr>
            <w:tcW w:w="9235" w:type="dxa"/>
            <w:gridSpan w:val="4"/>
            <w:tcBorders>
              <w:bottom w:val="nil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E23F5" w:rsidRPr="008119C5" w:rsidTr="00CF4EA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E23F5" w:rsidRPr="008119C5" w:rsidRDefault="00FE23F5" w:rsidP="00CF4EA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E23F5" w:rsidRPr="008119C5" w:rsidRDefault="00FE23F5" w:rsidP="00CF4EA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FE23F5" w:rsidRPr="008119C5" w:rsidTr="00CF4EA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E23F5" w:rsidRPr="008119C5" w:rsidTr="00CF4EA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E23F5" w:rsidRPr="008119C5" w:rsidRDefault="00FE23F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E23F5" w:rsidRPr="008119C5" w:rsidTr="00CF4EA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E23F5" w:rsidRDefault="00FE23F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E23F5" w:rsidRPr="008A1768" w:rsidRDefault="00FE23F5" w:rsidP="00CF4EA0">
            <w:pPr>
              <w:spacing w:before="200" w:after="200"/>
            </w:pPr>
          </w:p>
        </w:tc>
      </w:tr>
    </w:tbl>
    <w:p w:rsidR="00FE23F5" w:rsidRDefault="00FE23F5" w:rsidP="00FE23F5">
      <w:pPr>
        <w:spacing w:line="240" w:lineRule="auto"/>
        <w:sectPr w:rsidR="00FE23F5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E23F5" w:rsidRPr="00F5187C" w:rsidRDefault="00FE23F5" w:rsidP="00FE23F5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3E16B4" w:rsidRDefault="00E333CF" w:rsidP="00FE23F5">
      <w:pPr>
        <w:spacing w:before="60" w:after="60"/>
      </w:pPr>
      <w:r>
        <w:t xml:space="preserve">Partnerarbeit: </w:t>
      </w:r>
      <w:r w:rsidR="003E16B4">
        <w:t>Wählt gemeinsam fünf verschiedene</w:t>
      </w:r>
      <w:r>
        <w:t xml:space="preserve"> Musikstück </w:t>
      </w:r>
      <w:r w:rsidR="003E16B4">
        <w:t>aus.</w:t>
      </w:r>
    </w:p>
    <w:p w:rsidR="00E333CF" w:rsidRDefault="00182208" w:rsidP="00182208">
      <w:pPr>
        <w:pStyle w:val="Listenabsatz"/>
        <w:numPr>
          <w:ilvl w:val="0"/>
          <w:numId w:val="2"/>
        </w:numPr>
        <w:spacing w:before="60" w:after="60"/>
      </w:pPr>
      <w:r>
        <w:t xml:space="preserve">Pulsmessung: </w:t>
      </w:r>
      <w:r w:rsidR="00826B21">
        <w:t xml:space="preserve">Messt vor und nach dem </w:t>
      </w:r>
      <w:r w:rsidR="00D51205">
        <w:t>H</w:t>
      </w:r>
      <w:r w:rsidR="003E16B4">
        <w:t xml:space="preserve">ören der einzelnen </w:t>
      </w:r>
      <w:r w:rsidR="00826B21">
        <w:t>Musikstück</w:t>
      </w:r>
      <w:r w:rsidR="003E16B4">
        <w:t>e</w:t>
      </w:r>
      <w:r w:rsidR="00826B21">
        <w:t xml:space="preserve"> euren Puls. Tragt eure Ergebnisse in eine Liste ein. Hat sich euer Puls verändert? Wenn ja, wie? </w:t>
      </w:r>
      <w:r w:rsidR="005628AB">
        <w:t xml:space="preserve">Was kann man daraus schließen? </w:t>
      </w:r>
      <w:r w:rsidR="003E16B4">
        <w:t>Vergleicht eure Ergebnisse.</w:t>
      </w:r>
    </w:p>
    <w:p w:rsidR="00FE23F5" w:rsidRDefault="00E333CF" w:rsidP="00182208">
      <w:pPr>
        <w:spacing w:before="60" w:after="60"/>
        <w:ind w:firstLine="708"/>
      </w:pPr>
      <w:r>
        <w:t>Siehe z.B. Dreiklang 9/10</w:t>
      </w:r>
      <w:r w:rsidR="003E16B4">
        <w:t>, Berlin 2011</w:t>
      </w:r>
    </w:p>
    <w:p w:rsidR="00182208" w:rsidRPr="009C6F74" w:rsidRDefault="00182208" w:rsidP="00182208">
      <w:pPr>
        <w:pStyle w:val="Listenabsatz"/>
        <w:numPr>
          <w:ilvl w:val="0"/>
          <w:numId w:val="2"/>
        </w:numPr>
        <w:spacing w:before="60" w:after="60"/>
      </w:pPr>
      <w:r>
        <w:t>Vergleich aktueller und älterer Musik: Wähle aus den fünf Musikstücken zwei Musikstücke aus, die aus zwei verschiedenen Jahrzehnten stammen. Erarbeite Kategorien, nach denen du sie vergleichen kannst. Vergleiche die Musikstücke miteinander.</w:t>
      </w:r>
    </w:p>
    <w:p w:rsidR="00A3524B" w:rsidRDefault="00A3524B" w:rsidP="00FE23F5">
      <w:pPr>
        <w:spacing w:before="60" w:after="60"/>
        <w:rPr>
          <w:b/>
        </w:rPr>
      </w:pPr>
      <w:r>
        <w:rPr>
          <w:b/>
        </w:rPr>
        <w:br w:type="page"/>
      </w:r>
    </w:p>
    <w:p w:rsidR="00FE23F5" w:rsidRDefault="00FE23F5" w:rsidP="00FE23F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FE23F5" w:rsidRDefault="005628AB" w:rsidP="005628AB">
      <w:pPr>
        <w:pStyle w:val="Listenabsatz"/>
        <w:numPr>
          <w:ilvl w:val="0"/>
          <w:numId w:val="3"/>
        </w:numPr>
        <w:spacing w:before="60" w:after="60"/>
      </w:pPr>
      <w:r w:rsidRPr="005628AB">
        <w:t>D</w:t>
      </w:r>
      <w:r>
        <w:t>ie Schülerinnen und Schüler können Musikstücke nach ihren Vorlieben auswählen und aufgrund der Pulsmessung die eigene Reaktion auf bestimmte Musik messen. Sie können Rückschlüsse auf die emotionale Wirkung von Musik ziehen.</w:t>
      </w:r>
    </w:p>
    <w:p w:rsidR="005628AB" w:rsidRPr="005628AB" w:rsidRDefault="005628AB" w:rsidP="005628AB">
      <w:pPr>
        <w:pStyle w:val="Listenabsatz"/>
        <w:numPr>
          <w:ilvl w:val="0"/>
          <w:numId w:val="3"/>
        </w:numPr>
        <w:spacing w:before="60" w:after="60"/>
      </w:pPr>
      <w:r w:rsidRPr="005628AB">
        <w:t>D</w:t>
      </w:r>
      <w:r>
        <w:t>ie Schülerinnen und Schüler können für selbst ausgewählte Musik zwei unterschiedlich klingende Stücke auswählen. Sie können Kategorien entwickeln, anhand derer sie die Stücke vergleichen können.</w:t>
      </w:r>
      <w:bookmarkStart w:id="0" w:name="_GoBack"/>
      <w:bookmarkEnd w:id="0"/>
    </w:p>
    <w:sectPr w:rsidR="005628AB" w:rsidRPr="005628AB" w:rsidSect="00BA4B8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CB" w:rsidRDefault="000F04CB" w:rsidP="00FE23F5">
      <w:pPr>
        <w:spacing w:line="240" w:lineRule="auto"/>
      </w:pPr>
      <w:r>
        <w:separator/>
      </w:r>
    </w:p>
  </w:endnote>
  <w:endnote w:type="continuationSeparator" w:id="0">
    <w:p w:rsidR="000F04CB" w:rsidRDefault="000F04CB" w:rsidP="00FE2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FE23F5" w:rsidRDefault="00FE23F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F04CB">
          <w:fldChar w:fldCharType="begin"/>
        </w:r>
        <w:r w:rsidR="000F04CB">
          <w:instrText xml:space="preserve"> PAGE   \* MERGEFORMAT </w:instrText>
        </w:r>
        <w:r w:rsidR="000F04CB">
          <w:fldChar w:fldCharType="separate"/>
        </w:r>
        <w:r w:rsidR="00A3524B">
          <w:rPr>
            <w:noProof/>
          </w:rPr>
          <w:t>1</w:t>
        </w:r>
        <w:r w:rsidR="000F04C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FE23F5" w:rsidRDefault="00A3524B" w:rsidP="00A3524B">
        <w:r>
          <w:rPr>
            <w:noProof/>
            <w:lang w:eastAsia="de-DE"/>
          </w:rPr>
          <w:drawing>
            <wp:inline distT="0" distB="0" distL="0" distR="0" wp14:anchorId="53508B1D" wp14:editId="53F5B485">
              <wp:extent cx="1227411" cy="429442"/>
              <wp:effectExtent l="19050" t="0" r="0" b="0"/>
              <wp:docPr id="1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E23F5">
          <w:tab/>
        </w:r>
        <w:r w:rsidR="000F04CB">
          <w:fldChar w:fldCharType="begin"/>
        </w:r>
        <w:r w:rsidR="000F04CB">
          <w:instrText xml:space="preserve"> PAGE   \* MERGEFORMAT </w:instrText>
        </w:r>
        <w:r w:rsidR="000F04CB">
          <w:fldChar w:fldCharType="separate"/>
        </w:r>
        <w:r>
          <w:rPr>
            <w:noProof/>
          </w:rPr>
          <w:t>2</w:t>
        </w:r>
        <w:r w:rsidR="000F04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CB" w:rsidRDefault="000F04CB" w:rsidP="00FE23F5">
      <w:pPr>
        <w:spacing w:line="240" w:lineRule="auto"/>
      </w:pPr>
      <w:r>
        <w:separator/>
      </w:r>
    </w:p>
  </w:footnote>
  <w:footnote w:type="continuationSeparator" w:id="0">
    <w:p w:rsidR="000F04CB" w:rsidRDefault="000F04CB" w:rsidP="00FE2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F5" w:rsidRPr="00A3524B" w:rsidRDefault="00FE23F5" w:rsidP="00A3524B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A04"/>
    <w:multiLevelType w:val="hybridMultilevel"/>
    <w:tmpl w:val="6A804FE2"/>
    <w:lvl w:ilvl="0" w:tplc="80E43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2A94"/>
    <w:multiLevelType w:val="hybridMultilevel"/>
    <w:tmpl w:val="82E03C16"/>
    <w:lvl w:ilvl="0" w:tplc="3B3AB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F5"/>
    <w:rsid w:val="0005554F"/>
    <w:rsid w:val="000A7F8F"/>
    <w:rsid w:val="000F04CB"/>
    <w:rsid w:val="00182208"/>
    <w:rsid w:val="003E16B4"/>
    <w:rsid w:val="004958F3"/>
    <w:rsid w:val="00511FF1"/>
    <w:rsid w:val="005628AB"/>
    <w:rsid w:val="007F5EF9"/>
    <w:rsid w:val="00826B21"/>
    <w:rsid w:val="009C6F74"/>
    <w:rsid w:val="00A3524B"/>
    <w:rsid w:val="00BA4B82"/>
    <w:rsid w:val="00D51205"/>
    <w:rsid w:val="00D576EF"/>
    <w:rsid w:val="00DB2DF3"/>
    <w:rsid w:val="00E333CF"/>
    <w:rsid w:val="00E82017"/>
    <w:rsid w:val="00F51343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3F5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E2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23F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E2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3F5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E23F5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E23F5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E23F5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E23F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8F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Wittram-Regenhard</dc:creator>
  <cp:lastModifiedBy>Foerster</cp:lastModifiedBy>
  <cp:revision>6</cp:revision>
  <dcterms:created xsi:type="dcterms:W3CDTF">2016-06-01T07:41:00Z</dcterms:created>
  <dcterms:modified xsi:type="dcterms:W3CDTF">2017-11-10T12:19:00Z</dcterms:modified>
</cp:coreProperties>
</file>