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E19ED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E19ED" w:rsidP="00CF7A65">
            <w:pPr>
              <w:spacing w:before="200" w:after="200"/>
            </w:pPr>
            <w:r>
              <w:t xml:space="preserve">Fachwissen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F7A65" w:rsidP="00321743">
            <w:pPr>
              <w:tabs>
                <w:tab w:val="left" w:pos="1373"/>
              </w:tabs>
              <w:spacing w:before="200" w:after="200"/>
            </w:pPr>
            <w:r>
              <w:t xml:space="preserve">System-Konzept, </w:t>
            </w:r>
            <w:r w:rsidR="00DE19ED">
              <w:t>Struktur und Funktion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4454D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BC794D" w:rsidRDefault="00E5005B" w:rsidP="0007720D">
            <w:pPr>
              <w:tabs>
                <w:tab w:val="left" w:pos="1190"/>
              </w:tabs>
              <w:spacing w:before="120" w:after="120"/>
              <w:rPr>
                <w:rFonts w:cs="Arial"/>
                <w:color w:val="000000"/>
                <w:lang w:eastAsia="de-DE"/>
              </w:rPr>
            </w:pPr>
            <w:r w:rsidRPr="00B77907">
              <w:rPr>
                <w:rFonts w:cs="Arial"/>
                <w:color w:val="000000"/>
                <w:lang w:eastAsia="de-DE"/>
              </w:rPr>
              <w:t>Die Schülerinnen und Schüler können</w:t>
            </w:r>
            <w:r>
              <w:t xml:space="preserve"> </w:t>
            </w:r>
            <w:r>
              <w:rPr>
                <w:rFonts w:cs="Arial"/>
                <w:color w:val="000000"/>
                <w:lang w:eastAsia="de-DE"/>
              </w:rPr>
              <w:t>d</w:t>
            </w:r>
            <w:r w:rsidRPr="00E5005B">
              <w:rPr>
                <w:rFonts w:cs="Arial"/>
                <w:color w:val="000000"/>
                <w:lang w:eastAsia="de-DE"/>
              </w:rPr>
              <w:t>ie Funktion von biolog</w:t>
            </w:r>
            <w:r w:rsidRPr="00E5005B">
              <w:rPr>
                <w:rFonts w:cs="Arial"/>
                <w:color w:val="000000"/>
                <w:lang w:eastAsia="de-DE"/>
              </w:rPr>
              <w:t>i</w:t>
            </w:r>
            <w:r w:rsidRPr="00E5005B">
              <w:rPr>
                <w:rFonts w:cs="Arial"/>
                <w:color w:val="000000"/>
                <w:lang w:eastAsia="de-DE"/>
              </w:rPr>
              <w:t>schen Systemen aufgrund ihrer Struktur erklären</w:t>
            </w:r>
            <w:r>
              <w:rPr>
                <w:rFonts w:cs="Arial"/>
                <w:color w:val="000000"/>
                <w:lang w:eastAsia="de-DE"/>
              </w:rPr>
              <w:t>.</w:t>
            </w:r>
            <w:r w:rsidRPr="00E5005B">
              <w:rPr>
                <w:rFonts w:cs="Arial"/>
                <w:color w:val="000000"/>
                <w:lang w:eastAsia="de-DE"/>
              </w:rPr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A202CE" w:rsidP="00321743">
            <w:pPr>
              <w:tabs>
                <w:tab w:val="left" w:pos="1190"/>
              </w:tabs>
              <w:spacing w:before="200" w:after="200"/>
            </w:pPr>
            <w:r>
              <w:t>TF 6: Bau und Funktion des Nervensystems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07720D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BC794D" w:rsidRDefault="0007720D" w:rsidP="00BC794D">
            <w:pPr>
              <w:pStyle w:val="Tabelle"/>
            </w:pPr>
            <w:r w:rsidRPr="00B77907">
              <w:rPr>
                <w:rFonts w:cs="Arial"/>
                <w:color w:val="000000"/>
              </w:rPr>
              <w:t>Die Schülerinnen und Schüler können</w:t>
            </w:r>
            <w:r>
              <w:t xml:space="preserve"> </w:t>
            </w:r>
            <w:r w:rsidRPr="007D509D">
              <w:t>Sachverhalte und A</w:t>
            </w:r>
            <w:r w:rsidRPr="007D509D">
              <w:t>b</w:t>
            </w:r>
            <w:r w:rsidRPr="007D509D">
              <w:t>läufe veranschaulichen, erklären und interpretieren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07720D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07720D">
              <w:rPr>
                <w:b/>
              </w:rPr>
              <w:t>: 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07720D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07720D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07720D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07720D" w:rsidP="00321743">
            <w:pPr>
              <w:spacing w:before="200" w:after="200"/>
            </w:pPr>
            <w:r>
              <w:t>Antigene, Antikörper,</w:t>
            </w:r>
            <w:r w:rsidRPr="008E0B74">
              <w:t xml:space="preserve"> Schlüssel-Schloss-Prinzip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F7A65" w:rsidRDefault="00CF7A65" w:rsidP="00BF22FF">
      <w:pPr>
        <w:spacing w:before="60" w:after="60"/>
        <w:rPr>
          <w:b/>
          <w:sz w:val="24"/>
          <w:szCs w:val="24"/>
        </w:rPr>
      </w:pPr>
    </w:p>
    <w:p w:rsidR="00CF7A65" w:rsidRPr="00F5187C" w:rsidRDefault="004B1AC7" w:rsidP="00BF22FF">
      <w:pPr>
        <w:spacing w:before="60" w:after="60"/>
        <w:rPr>
          <w:b/>
          <w:sz w:val="24"/>
          <w:szCs w:val="24"/>
        </w:rPr>
      </w:pPr>
      <w:r w:rsidRPr="004B1AC7">
        <w:rPr>
          <w:b/>
        </w:rPr>
        <w:t>Das Schlüssel-Schloss-Prinzip</w:t>
      </w:r>
    </w:p>
    <w:p w:rsidR="00F5187C" w:rsidRDefault="002312A1" w:rsidP="004B1AC7">
      <w:pPr>
        <w:spacing w:before="60" w:after="60"/>
        <w:ind w:right="3116"/>
        <w:jc w:val="both"/>
      </w:pPr>
      <w:r>
        <w:rPr>
          <w:noProof/>
          <w:lang w:eastAsia="de-DE"/>
        </w:rPr>
        <w:pict>
          <v:group id="_x0000_s1030" style="position:absolute;left:0;text-align:left;margin-left:314.9pt;margin-top:1.8pt;width:144.6pt;height:60pt;z-index:251659264" coordorigin="5028,6384" coordsize="2892,1200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8" type="#_x0000_t55" style="position:absolute;left:6360;top:6384;width:1560;height:1200" strokecolor="#92cddc" strokeweight="1pt">
              <v:fill color2="#b6dde8" focusposition="1" focussize="" focus="100%" type="gradient"/>
              <v:shadow on="t" type="perspective" color="#205867" opacity=".5" offset="1pt" offset2="-3pt"/>
              <v:textbox>
                <w:txbxContent>
                  <w:p w:rsidR="004B1AC7" w:rsidRDefault="004B1AC7"/>
                  <w:p w:rsidR="004B1AC7" w:rsidRPr="002620DC" w:rsidRDefault="004B1AC7">
                    <w:pPr>
                      <w:rPr>
                        <w:color w:val="365F91"/>
                      </w:rPr>
                    </w:pPr>
                    <w:r>
                      <w:t xml:space="preserve">     </w:t>
                    </w:r>
                    <w:r w:rsidRPr="002620DC">
                      <w:rPr>
                        <w:color w:val="365F91"/>
                      </w:rPr>
                      <w:t>Schloss</w:t>
                    </w:r>
                  </w:p>
                </w:txbxContent>
              </v:textbox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9" type="#_x0000_t15" style="position:absolute;left:5028;top:6384;width:1596;height:1200" strokecolor="#d99594" strokeweight="1pt">
              <v:fill color2="#e5b8b7" focusposition="1" focussize="" focus="100%" type="gradient"/>
              <v:shadow on="t" type="perspective" color="#622423" opacity=".5" offset="1pt" offset2="-3pt"/>
              <v:textbox>
                <w:txbxContent>
                  <w:p w:rsidR="004B1AC7" w:rsidRDefault="004B1AC7"/>
                  <w:p w:rsidR="004B1AC7" w:rsidRPr="002620DC" w:rsidRDefault="004B1AC7">
                    <w:pPr>
                      <w:rPr>
                        <w:color w:val="943634"/>
                      </w:rPr>
                    </w:pPr>
                    <w:r w:rsidRPr="002620DC">
                      <w:rPr>
                        <w:color w:val="943634"/>
                      </w:rPr>
                      <w:t>Schlüssel</w:t>
                    </w:r>
                  </w:p>
                </w:txbxContent>
              </v:textbox>
            </v:shape>
          </v:group>
        </w:pict>
      </w:r>
      <w:r w:rsidR="00A202CE" w:rsidRPr="008E0B74">
        <w:t>Der Zusammenhang von Struktur und Funktion</w:t>
      </w:r>
      <w:r w:rsidR="00C55770">
        <w:t xml:space="preserve"> in biolog</w:t>
      </w:r>
      <w:r w:rsidR="00C55770">
        <w:t>i</w:t>
      </w:r>
      <w:r w:rsidR="00C55770">
        <w:t>schen Systemen, wie z.</w:t>
      </w:r>
      <w:r w:rsidR="00CF7A65">
        <w:t> </w:t>
      </w:r>
      <w:r w:rsidR="00C55770">
        <w:t>B</w:t>
      </w:r>
      <w:r w:rsidR="00CF7A65">
        <w:t>.</w:t>
      </w:r>
      <w:r w:rsidR="00C55770">
        <w:t xml:space="preserve"> dem Immunsystem,</w:t>
      </w:r>
      <w:r w:rsidR="00A202CE" w:rsidRPr="008E0B74">
        <w:t xml:space="preserve"> gehört zu den biologischen Grundprinzipien. </w:t>
      </w:r>
      <w:r w:rsidR="0007720D">
        <w:t>D</w:t>
      </w:r>
      <w:r w:rsidR="00A202CE" w:rsidRPr="008E0B74">
        <w:t>as Schlüssel-Schloss-Prinzip</w:t>
      </w:r>
      <w:r w:rsidR="0007720D">
        <w:t xml:space="preserve"> wird oft zur Erläuterung physiologischer Reaktionen angewandt.</w:t>
      </w:r>
    </w:p>
    <w:p w:rsidR="004B1AC7" w:rsidRDefault="004B1AC7" w:rsidP="00CF7A65">
      <w:pPr>
        <w:spacing w:before="60" w:after="60"/>
        <w:jc w:val="both"/>
        <w:rPr>
          <w:b/>
        </w:rPr>
      </w:pPr>
    </w:p>
    <w:p w:rsidR="004B1AC7" w:rsidRPr="004B1AC7" w:rsidRDefault="004B1AC7" w:rsidP="00CF7A65">
      <w:pPr>
        <w:spacing w:before="60" w:after="60"/>
        <w:jc w:val="both"/>
        <w:rPr>
          <w:b/>
        </w:rPr>
      </w:pPr>
      <w:r w:rsidRPr="004B1AC7">
        <w:rPr>
          <w:b/>
        </w:rPr>
        <w:t>Aufgaben:</w:t>
      </w:r>
    </w:p>
    <w:p w:rsidR="008E0B74" w:rsidRDefault="00EA073D" w:rsidP="00BF22FF">
      <w:pPr>
        <w:spacing w:before="60" w:after="60"/>
      </w:pPr>
      <w:r>
        <w:t xml:space="preserve">1. </w:t>
      </w:r>
      <w:r w:rsidR="008E0B74" w:rsidRPr="008E0B74">
        <w:t>Erkläre die Antigen-Antikörper-Reaktion mithilfe dieses Prinzips.</w:t>
      </w:r>
    </w:p>
    <w:p w:rsidR="005502A2" w:rsidRDefault="00EA073D" w:rsidP="00BF22FF">
      <w:pPr>
        <w:spacing w:before="60" w:after="60"/>
      </w:pPr>
      <w:r>
        <w:t xml:space="preserve">2. </w:t>
      </w:r>
      <w:r w:rsidR="005502A2">
        <w:t>Veranschauliche deine Erklärung anhand von Skizzen.</w:t>
      </w:r>
    </w:p>
    <w:p w:rsidR="008E0B74" w:rsidRPr="008E0B74" w:rsidRDefault="008E0B74" w:rsidP="00BF22FF">
      <w:pPr>
        <w:spacing w:before="60" w:after="60"/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F5187C" w:rsidRPr="008A1768" w:rsidRDefault="00F5187C" w:rsidP="004F3656"/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851F6D" w:rsidRDefault="00851F6D" w:rsidP="00851F6D">
      <w:pPr>
        <w:spacing w:line="240" w:lineRule="auto"/>
        <w:rPr>
          <w:noProof/>
          <w:lang w:eastAsia="de-DE"/>
        </w:rPr>
      </w:pPr>
    </w:p>
    <w:p w:rsidR="00F5187C" w:rsidRDefault="00851F6D" w:rsidP="00851F6D">
      <w:pPr>
        <w:spacing w:line="240" w:lineRule="auto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4B1AC7" w:rsidRDefault="004B1AC7" w:rsidP="00BF22FF">
      <w:pPr>
        <w:spacing w:before="60" w:after="60"/>
      </w:pPr>
    </w:p>
    <w:p w:rsidR="004B1AC7" w:rsidRDefault="004B1AC7" w:rsidP="004B1AC7">
      <w:pPr>
        <w:spacing w:before="60" w:after="60"/>
      </w:pPr>
      <w:r>
        <w:t xml:space="preserve">1. </w:t>
      </w:r>
      <w:r w:rsidRPr="008E0B74">
        <w:t>Erkläre die Antigen-Antikörper-Reaktion mithilfe dieses Prinzips.</w:t>
      </w:r>
    </w:p>
    <w:p w:rsidR="0007720D" w:rsidRDefault="0007720D" w:rsidP="004B1AC7">
      <w:pPr>
        <w:spacing w:before="60" w:after="60"/>
      </w:pPr>
    </w:p>
    <w:p w:rsidR="00143D89" w:rsidRDefault="00B528FC" w:rsidP="00143D89">
      <w:pPr>
        <w:spacing w:before="60" w:after="60"/>
        <w:jc w:val="both"/>
      </w:pPr>
      <w:r>
        <w:t>Antikörper sind von Plasmazellen produzierte spezifische Abwehrstoffe gegen eingedrung</w:t>
      </w:r>
      <w:r>
        <w:t>e</w:t>
      </w:r>
      <w:r>
        <w:t>ne Erreger (Antigene).</w:t>
      </w:r>
      <w:r w:rsidR="00143D89">
        <w:t xml:space="preserve"> </w:t>
      </w:r>
      <w:r w:rsidRPr="00B528FC">
        <w:t xml:space="preserve">Antikörper passen wie ein Schlüssel </w:t>
      </w:r>
      <w:r w:rsidR="00CF7A65">
        <w:t>in ein</w:t>
      </w:r>
      <w:r w:rsidRPr="00B528FC">
        <w:t xml:space="preserve"> Schloss zu einem b</w:t>
      </w:r>
      <w:r w:rsidRPr="00B528FC">
        <w:t>e</w:t>
      </w:r>
      <w:r w:rsidRPr="00B528FC">
        <w:t>stimmten Antigen (z.</w:t>
      </w:r>
      <w:r w:rsidR="00CF7A65">
        <w:t> </w:t>
      </w:r>
      <w:r w:rsidRPr="00B528FC">
        <w:t>B. Bakterium). Sie binden mit ihrer genau angepassten Oberfläche</w:t>
      </w:r>
      <w:r>
        <w:t xml:space="preserve"> an die</w:t>
      </w:r>
      <w:r w:rsidRPr="00B528FC">
        <w:t xml:space="preserve"> Antigene</w:t>
      </w:r>
      <w:r w:rsidR="00D86466">
        <w:t>.</w:t>
      </w:r>
      <w:r w:rsidRPr="00B528FC">
        <w:t xml:space="preserve"> </w:t>
      </w:r>
      <w:r w:rsidR="00D86466">
        <w:t>E</w:t>
      </w:r>
      <w:r w:rsidRPr="00B528FC">
        <w:t>in Antikörper-Antigen</w:t>
      </w:r>
      <w:r w:rsidR="00143D89">
        <w:t>-K</w:t>
      </w:r>
      <w:r w:rsidRPr="00B528FC">
        <w:t>omplex entsteht. Durch die</w:t>
      </w:r>
      <w:r w:rsidR="00143D89">
        <w:t>se</w:t>
      </w:r>
      <w:r w:rsidRPr="00B528FC">
        <w:t xml:space="preserve"> </w:t>
      </w:r>
      <w:r w:rsidR="00143D89">
        <w:t>Markierung</w:t>
      </w:r>
      <w:r w:rsidRPr="00B528FC">
        <w:t xml:space="preserve"> können </w:t>
      </w:r>
      <w:r w:rsidR="00143D89">
        <w:t xml:space="preserve">die Erreger </w:t>
      </w:r>
      <w:r w:rsidRPr="00B528FC">
        <w:t>nicht mehr in Zellen eindringen und diese infizieren.</w:t>
      </w:r>
      <w:r w:rsidR="00143D89" w:rsidRPr="00143D89">
        <w:t xml:space="preserve"> Der Antikörper besitzt mehrere Bindungsstellen für Antigene, wodurch ein Antikörper die Verklumpung mehrer</w:t>
      </w:r>
      <w:r w:rsidR="00143D89">
        <w:t>er</w:t>
      </w:r>
      <w:r w:rsidR="00143D89" w:rsidRPr="00143D89">
        <w:t xml:space="preserve"> Antigene herbeiführen kann. Die miteinander verklumpten Zellen sind infolgedessen nicht mehr </w:t>
      </w:r>
      <w:r w:rsidR="00143D89">
        <w:t>„</w:t>
      </w:r>
      <w:r w:rsidR="00143D89" w:rsidRPr="00143D89">
        <w:t>han</w:t>
      </w:r>
      <w:r w:rsidR="00143D89" w:rsidRPr="00143D89">
        <w:t>d</w:t>
      </w:r>
      <w:r w:rsidR="00143D89" w:rsidRPr="00143D89">
        <w:t>lungsfähig</w:t>
      </w:r>
      <w:r w:rsidR="00143D89">
        <w:t>“</w:t>
      </w:r>
      <w:r w:rsidR="00143D89" w:rsidRPr="00143D89">
        <w:t>.</w:t>
      </w:r>
    </w:p>
    <w:p w:rsidR="00B528FC" w:rsidRPr="00B528FC" w:rsidRDefault="00143D89" w:rsidP="00143D89">
      <w:pPr>
        <w:jc w:val="both"/>
      </w:pPr>
      <w:r w:rsidRPr="00143D89">
        <w:t xml:space="preserve"> </w:t>
      </w:r>
    </w:p>
    <w:p w:rsidR="004B1AC7" w:rsidRDefault="004B1AC7" w:rsidP="004B1AC7">
      <w:pPr>
        <w:spacing w:before="60" w:after="60"/>
      </w:pPr>
      <w:r>
        <w:t>2. Veranschauliche deine Erklärung anhand von Skizzen.</w:t>
      </w:r>
    </w:p>
    <w:p w:rsidR="00CF7A65" w:rsidRDefault="00BB53D5">
      <w:pPr>
        <w:spacing w:line="240" w:lineRule="auto"/>
      </w:pPr>
      <w:r>
        <w:t>Skizze zur Antigen-Antikörper</w:t>
      </w:r>
      <w:r w:rsidR="00832691">
        <w:t>-R</w:t>
      </w:r>
      <w:r>
        <w:t>eaktion</w:t>
      </w:r>
      <w:r w:rsidR="0014782C">
        <w:t xml:space="preserve"> (Abb.: I.</w:t>
      </w:r>
      <w:r w:rsidR="00832691">
        <w:t xml:space="preserve"> </w:t>
      </w:r>
      <w:r w:rsidR="0014782C">
        <w:t>Siehr)</w:t>
      </w:r>
    </w:p>
    <w:p w:rsidR="00B51A50" w:rsidRDefault="00851F6D" w:rsidP="008A17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2962275" cy="152400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2C" w:rsidRDefault="0014782C" w:rsidP="008A1768">
      <w:pPr>
        <w:jc w:val="center"/>
        <w:rPr>
          <w:b/>
          <w:sz w:val="28"/>
          <w:szCs w:val="28"/>
        </w:rPr>
      </w:pPr>
    </w:p>
    <w:p w:rsidR="0014782C" w:rsidRDefault="00851F6D" w:rsidP="00D864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895475" cy="1762125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82C"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581150" cy="17526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6D" w:rsidRDefault="00851F6D" w:rsidP="00851F6D">
      <w:pPr>
        <w:jc w:val="center"/>
        <w:rPr>
          <w:sz w:val="2"/>
          <w:szCs w:val="2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2686050" cy="1962150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B27">
        <w:rPr>
          <w:sz w:val="2"/>
          <w:szCs w:val="2"/>
        </w:rPr>
        <w:t xml:space="preserve"> </w:t>
      </w:r>
    </w:p>
    <w:p w:rsidR="00851F6D" w:rsidRPr="00851F6D" w:rsidRDefault="00851F6D" w:rsidP="00851F6D">
      <w:pPr>
        <w:rPr>
          <w:sz w:val="2"/>
          <w:szCs w:val="2"/>
        </w:rPr>
      </w:pPr>
    </w:p>
    <w:p w:rsidR="00851F6D" w:rsidRPr="00851F6D" w:rsidRDefault="00851F6D" w:rsidP="00851F6D">
      <w:pPr>
        <w:rPr>
          <w:sz w:val="2"/>
          <w:szCs w:val="2"/>
        </w:rPr>
      </w:pPr>
    </w:p>
    <w:p w:rsidR="00851F6D" w:rsidRPr="00851F6D" w:rsidRDefault="00851F6D" w:rsidP="00851F6D">
      <w:pPr>
        <w:rPr>
          <w:sz w:val="2"/>
          <w:szCs w:val="2"/>
        </w:rPr>
      </w:pPr>
    </w:p>
    <w:p w:rsidR="00851F6D" w:rsidRPr="00851F6D" w:rsidRDefault="00851F6D" w:rsidP="00851F6D"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</w:p>
    <w:sectPr w:rsidR="00851F6D" w:rsidRPr="00851F6D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52" w:rsidRDefault="00897552" w:rsidP="00837EC7">
      <w:pPr>
        <w:spacing w:line="240" w:lineRule="auto"/>
      </w:pPr>
      <w:r>
        <w:separator/>
      </w:r>
    </w:p>
  </w:endnote>
  <w:endnote w:type="continuationSeparator" w:id="0">
    <w:p w:rsidR="00897552" w:rsidRDefault="0089755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FC" w:rsidRDefault="00B528FC" w:rsidP="00937B60">
    <w:pPr>
      <w:pStyle w:val="Fuzeile"/>
      <w:tabs>
        <w:tab w:val="clear" w:pos="4536"/>
      </w:tabs>
      <w:jc w:val="center"/>
    </w:pPr>
    <w:r>
      <w:tab/>
    </w:r>
    <w:r w:rsidR="002312A1">
      <w:fldChar w:fldCharType="begin"/>
    </w:r>
    <w:r>
      <w:instrText xml:space="preserve"> </w:instrText>
    </w:r>
    <w:r w:rsidR="002620DC">
      <w:instrText>PAGE</w:instrText>
    </w:r>
    <w:r>
      <w:instrText xml:space="preserve">   \* MERGEFORMAT </w:instrText>
    </w:r>
    <w:r w:rsidR="002312A1">
      <w:fldChar w:fldCharType="separate"/>
    </w:r>
    <w:r w:rsidR="00BC794D">
      <w:rPr>
        <w:noProof/>
      </w:rPr>
      <w:t>1</w:t>
    </w:r>
    <w:r w:rsidR="002312A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FC" w:rsidRDefault="00B528FC" w:rsidP="00937B60">
    <w:pPr>
      <w:pStyle w:val="Fuzeile"/>
      <w:tabs>
        <w:tab w:val="clear" w:pos="4536"/>
      </w:tabs>
      <w:jc w:val="center"/>
    </w:pPr>
    <w:r>
      <w:tab/>
    </w:r>
    <w:r w:rsidR="002312A1">
      <w:fldChar w:fldCharType="begin"/>
    </w:r>
    <w:r>
      <w:instrText xml:space="preserve"> </w:instrText>
    </w:r>
    <w:r w:rsidR="002620DC">
      <w:instrText>PAGE</w:instrText>
    </w:r>
    <w:r>
      <w:instrText xml:space="preserve">   \* MERGEFORMAT </w:instrText>
    </w:r>
    <w:r w:rsidR="002312A1">
      <w:fldChar w:fldCharType="separate"/>
    </w:r>
    <w:r w:rsidR="00BC794D">
      <w:rPr>
        <w:noProof/>
      </w:rPr>
      <w:t>2</w:t>
    </w:r>
    <w:r w:rsidR="002312A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52" w:rsidRDefault="00897552" w:rsidP="00837EC7">
      <w:pPr>
        <w:spacing w:line="240" w:lineRule="auto"/>
      </w:pPr>
      <w:r>
        <w:separator/>
      </w:r>
    </w:p>
  </w:footnote>
  <w:footnote w:type="continuationSeparator" w:id="0">
    <w:p w:rsidR="00897552" w:rsidRDefault="00897552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23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3DDC"/>
    <w:rsid w:val="0004165F"/>
    <w:rsid w:val="00047DDD"/>
    <w:rsid w:val="0007720D"/>
    <w:rsid w:val="000A2A61"/>
    <w:rsid w:val="000A4B8B"/>
    <w:rsid w:val="00133562"/>
    <w:rsid w:val="00136172"/>
    <w:rsid w:val="00142DFA"/>
    <w:rsid w:val="00143D89"/>
    <w:rsid w:val="0014782C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12A1"/>
    <w:rsid w:val="002348B8"/>
    <w:rsid w:val="002620DC"/>
    <w:rsid w:val="002A04B8"/>
    <w:rsid w:val="002A2294"/>
    <w:rsid w:val="002B14FC"/>
    <w:rsid w:val="002D3F70"/>
    <w:rsid w:val="002D55C9"/>
    <w:rsid w:val="002E1682"/>
    <w:rsid w:val="002F20DE"/>
    <w:rsid w:val="002F3C8C"/>
    <w:rsid w:val="00300E1A"/>
    <w:rsid w:val="00307DE8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B1AC7"/>
    <w:rsid w:val="004C485B"/>
    <w:rsid w:val="004C5D31"/>
    <w:rsid w:val="004F3656"/>
    <w:rsid w:val="005052CB"/>
    <w:rsid w:val="00537A2A"/>
    <w:rsid w:val="005502A2"/>
    <w:rsid w:val="00565A32"/>
    <w:rsid w:val="005960DF"/>
    <w:rsid w:val="005B21EE"/>
    <w:rsid w:val="005C16CC"/>
    <w:rsid w:val="005D03D5"/>
    <w:rsid w:val="005F1ACA"/>
    <w:rsid w:val="00623015"/>
    <w:rsid w:val="00633CB7"/>
    <w:rsid w:val="0065252A"/>
    <w:rsid w:val="00677337"/>
    <w:rsid w:val="006A22F8"/>
    <w:rsid w:val="006A599E"/>
    <w:rsid w:val="006B7A4D"/>
    <w:rsid w:val="006C614C"/>
    <w:rsid w:val="006C713F"/>
    <w:rsid w:val="006D084A"/>
    <w:rsid w:val="006D25E2"/>
    <w:rsid w:val="006D5EEA"/>
    <w:rsid w:val="006D719E"/>
    <w:rsid w:val="006E650C"/>
    <w:rsid w:val="006F6ED4"/>
    <w:rsid w:val="007024FB"/>
    <w:rsid w:val="00732B4F"/>
    <w:rsid w:val="007357B6"/>
    <w:rsid w:val="007621DD"/>
    <w:rsid w:val="00771C9C"/>
    <w:rsid w:val="007C1D1C"/>
    <w:rsid w:val="007C2EA6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2691"/>
    <w:rsid w:val="00837EC7"/>
    <w:rsid w:val="00851F6D"/>
    <w:rsid w:val="00897552"/>
    <w:rsid w:val="008A1768"/>
    <w:rsid w:val="008B1D49"/>
    <w:rsid w:val="008B6E6E"/>
    <w:rsid w:val="008E0B74"/>
    <w:rsid w:val="008E2ED1"/>
    <w:rsid w:val="008E7D45"/>
    <w:rsid w:val="008F78E6"/>
    <w:rsid w:val="00937B60"/>
    <w:rsid w:val="0095558E"/>
    <w:rsid w:val="00956574"/>
    <w:rsid w:val="00965E76"/>
    <w:rsid w:val="00971722"/>
    <w:rsid w:val="009A1D85"/>
    <w:rsid w:val="009F42E4"/>
    <w:rsid w:val="00A202CE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06E39"/>
    <w:rsid w:val="00B51A50"/>
    <w:rsid w:val="00B528FC"/>
    <w:rsid w:val="00B542E5"/>
    <w:rsid w:val="00B94BD8"/>
    <w:rsid w:val="00BB53D5"/>
    <w:rsid w:val="00BC3491"/>
    <w:rsid w:val="00BC763D"/>
    <w:rsid w:val="00BC794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454D"/>
    <w:rsid w:val="00C47F23"/>
    <w:rsid w:val="00C5313B"/>
    <w:rsid w:val="00C55770"/>
    <w:rsid w:val="00C6552D"/>
    <w:rsid w:val="00CA26AC"/>
    <w:rsid w:val="00CB3549"/>
    <w:rsid w:val="00CD0455"/>
    <w:rsid w:val="00CF7A65"/>
    <w:rsid w:val="00D0707C"/>
    <w:rsid w:val="00D226DE"/>
    <w:rsid w:val="00D270BC"/>
    <w:rsid w:val="00D41BE0"/>
    <w:rsid w:val="00D86466"/>
    <w:rsid w:val="00DC762A"/>
    <w:rsid w:val="00DD0C30"/>
    <w:rsid w:val="00DE19ED"/>
    <w:rsid w:val="00DF308F"/>
    <w:rsid w:val="00E16A0E"/>
    <w:rsid w:val="00E16B27"/>
    <w:rsid w:val="00E363A5"/>
    <w:rsid w:val="00E5005B"/>
    <w:rsid w:val="00E579BF"/>
    <w:rsid w:val="00E72519"/>
    <w:rsid w:val="00E84ADD"/>
    <w:rsid w:val="00E85DB9"/>
    <w:rsid w:val="00E86529"/>
    <w:rsid w:val="00EA073D"/>
    <w:rsid w:val="00EA4734"/>
    <w:rsid w:val="00EA5291"/>
    <w:rsid w:val="00EB070D"/>
    <w:rsid w:val="00EC1F75"/>
    <w:rsid w:val="00EC51CF"/>
    <w:rsid w:val="00EC68C4"/>
    <w:rsid w:val="00ED0EC3"/>
    <w:rsid w:val="00F170FA"/>
    <w:rsid w:val="00F17F92"/>
    <w:rsid w:val="00F2257F"/>
    <w:rsid w:val="00F372D1"/>
    <w:rsid w:val="00F44FBB"/>
    <w:rsid w:val="00F477A3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Platzhaltertext1">
    <w:name w:val="Platzhaltertext1"/>
    <w:uiPriority w:val="99"/>
    <w:semiHidden/>
    <w:rsid w:val="00B94BD8"/>
    <w:rPr>
      <w:color w:val="808080"/>
    </w:rPr>
  </w:style>
  <w:style w:type="paragraph" w:customStyle="1" w:styleId="Tabelle">
    <w:name w:val="Tabelle"/>
    <w:basedOn w:val="Standard"/>
    <w:qFormat/>
    <w:rsid w:val="0007720D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43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BA8A-106F-4D8C-B31D-C917EBED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2015-12-18T09:54:00Z</dcterms:created>
  <dcterms:modified xsi:type="dcterms:W3CDTF">2015-12-18T09:54:00Z</dcterms:modified>
</cp:coreProperties>
</file>