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887F9E" w:rsidRPr="008119C5" w:rsidTr="00C16860">
        <w:tc>
          <w:tcPr>
            <w:tcW w:w="2802" w:type="dxa"/>
          </w:tcPr>
          <w:p w:rsidR="00887F9E" w:rsidRPr="008119C5" w:rsidRDefault="00887F9E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887F9E" w:rsidRPr="00202F49" w:rsidRDefault="00887F9E" w:rsidP="00CE15AC">
            <w:pPr>
              <w:spacing w:before="200" w:after="200"/>
            </w:pPr>
            <w:r>
              <w:t>Chemie</w:t>
            </w:r>
          </w:p>
        </w:tc>
      </w:tr>
      <w:tr w:rsidR="00887F9E" w:rsidRPr="008119C5" w:rsidTr="00C16860">
        <w:tc>
          <w:tcPr>
            <w:tcW w:w="2802" w:type="dxa"/>
          </w:tcPr>
          <w:p w:rsidR="00887F9E" w:rsidRPr="008119C5" w:rsidRDefault="00887F9E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887F9E" w:rsidRPr="008A1768" w:rsidRDefault="00887F9E" w:rsidP="00CE15AC">
            <w:pPr>
              <w:spacing w:before="200" w:after="200"/>
            </w:pPr>
            <w:r w:rsidRPr="00983701">
              <w:t>Mit Fachwissen umgehen</w:t>
            </w:r>
          </w:p>
        </w:tc>
      </w:tr>
      <w:tr w:rsidR="00887F9E" w:rsidRPr="008119C5" w:rsidTr="00C16860">
        <w:tc>
          <w:tcPr>
            <w:tcW w:w="2802" w:type="dxa"/>
          </w:tcPr>
          <w:p w:rsidR="00887F9E" w:rsidRPr="008119C5" w:rsidRDefault="00887F9E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887F9E" w:rsidRPr="008A1768" w:rsidRDefault="00887F9E" w:rsidP="00CE15AC">
            <w:pPr>
              <w:tabs>
                <w:tab w:val="left" w:pos="1373"/>
              </w:tabs>
              <w:spacing w:before="200" w:after="200"/>
            </w:pPr>
            <w:r w:rsidRPr="0061377C">
              <w:t>Basiskonzept: Energie-Konzept</w:t>
            </w:r>
            <w:r>
              <w:t>, Energieumwandlungen</w:t>
            </w:r>
          </w:p>
        </w:tc>
      </w:tr>
      <w:tr w:rsidR="00887F9E" w:rsidRPr="008119C5" w:rsidTr="00C16860">
        <w:tc>
          <w:tcPr>
            <w:tcW w:w="2802" w:type="dxa"/>
          </w:tcPr>
          <w:p w:rsidR="00887F9E" w:rsidRPr="008119C5" w:rsidRDefault="00887F9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887F9E" w:rsidRPr="008A1768" w:rsidRDefault="00887F9E" w:rsidP="00CE15AC">
            <w:pPr>
              <w:tabs>
                <w:tab w:val="left" w:pos="1190"/>
              </w:tabs>
              <w:spacing w:before="200" w:after="200"/>
            </w:pPr>
            <w:r>
              <w:t>G</w:t>
            </w:r>
          </w:p>
        </w:tc>
      </w:tr>
      <w:tr w:rsidR="00887F9E" w:rsidRPr="008119C5" w:rsidTr="00C16860">
        <w:tc>
          <w:tcPr>
            <w:tcW w:w="2802" w:type="dxa"/>
          </w:tcPr>
          <w:p w:rsidR="00887F9E" w:rsidRDefault="00887F9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87F9E" w:rsidRPr="008A1768" w:rsidRDefault="00887F9E" w:rsidP="00CE15AC">
            <w:pPr>
              <w:tabs>
                <w:tab w:val="left" w:pos="1190"/>
              </w:tabs>
              <w:spacing w:before="200" w:after="200"/>
            </w:pPr>
            <w:r w:rsidRPr="00E643D1">
              <w:t>Die Schülerinnen und Schüler können</w:t>
            </w:r>
            <w:r>
              <w:t xml:space="preserve"> angeben, dass sich bei exothermen und endothermen Reaktionen der Energieinhalt des Reaktionssystems verändert.</w:t>
            </w:r>
          </w:p>
        </w:tc>
      </w:tr>
      <w:tr w:rsidR="00887F9E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887F9E" w:rsidRPr="008119C5" w:rsidRDefault="00887F9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887F9E" w:rsidRPr="00202F49" w:rsidRDefault="00887F9E" w:rsidP="00887F9E">
            <w:pPr>
              <w:tabs>
                <w:tab w:val="left" w:pos="1190"/>
              </w:tabs>
              <w:spacing w:before="200" w:after="200"/>
            </w:pPr>
            <w:r>
              <w:t>TF 8: Säuren und Laugen – echt ätzend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887F9E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887F9E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887F9E">
              <w:rPr>
                <w:b/>
              </w:rPr>
              <w:t xml:space="preserve"> </w:t>
            </w:r>
            <w:r w:rsidR="00887F9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887F9E" w:rsidP="00321743">
            <w:pPr>
              <w:spacing w:before="200" w:after="200"/>
            </w:pPr>
            <w:r>
              <w:t>exotherm, endotherm, Lösen, Kristallisieren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887F9E" w:rsidRDefault="00887F9E" w:rsidP="00887F9E">
      <w:pPr>
        <w:spacing w:before="60" w:after="60"/>
        <w:rPr>
          <w:b/>
        </w:rPr>
      </w:pPr>
    </w:p>
    <w:p w:rsidR="00887F9E" w:rsidRDefault="00887F9E" w:rsidP="00887F9E">
      <w:pPr>
        <w:spacing w:before="60" w:after="60"/>
        <w:jc w:val="both"/>
        <w:rPr>
          <w:b/>
        </w:rPr>
      </w:pPr>
      <w:r w:rsidRPr="00122ADB">
        <w:rPr>
          <w:b/>
        </w:rPr>
        <w:t>Energieumwandlung in der Hosentasche</w:t>
      </w:r>
    </w:p>
    <w:p w:rsidR="00887F9E" w:rsidRPr="00122ADB" w:rsidRDefault="00887F9E" w:rsidP="00887F9E">
      <w:pPr>
        <w:spacing w:before="60" w:after="60"/>
        <w:jc w:val="both"/>
        <w:rPr>
          <w:b/>
        </w:rPr>
      </w:pPr>
    </w:p>
    <w:tbl>
      <w:tblPr>
        <w:tblStyle w:val="Tabellengitternetz"/>
        <w:tblpPr w:leftFromText="141" w:rightFromText="141" w:vertAnchor="text" w:horzAnchor="page" w:tblpX="5268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</w:tblGrid>
      <w:tr w:rsidR="00887F9E" w:rsidTr="00541FBA">
        <w:trPr>
          <w:trHeight w:val="3366"/>
        </w:trPr>
        <w:tc>
          <w:tcPr>
            <w:tcW w:w="5388" w:type="dxa"/>
          </w:tcPr>
          <w:p w:rsidR="00887F9E" w:rsidRDefault="00887F9E" w:rsidP="00887F9E">
            <w:pPr>
              <w:spacing w:before="60" w:after="60"/>
              <w:jc w:val="both"/>
            </w:pPr>
          </w:p>
          <w:p w:rsidR="00887F9E" w:rsidRDefault="00887F9E" w:rsidP="00887F9E">
            <w:pPr>
              <w:spacing w:before="60" w:after="60"/>
              <w:jc w:val="both"/>
            </w:pPr>
          </w:p>
          <w:p w:rsidR="00887F9E" w:rsidRDefault="00887F9E" w:rsidP="00887F9E">
            <w:pPr>
              <w:spacing w:before="60" w:after="60"/>
              <w:jc w:val="both"/>
            </w:pPr>
          </w:p>
          <w:p w:rsidR="00887F9E" w:rsidRDefault="00887F9E" w:rsidP="00887F9E">
            <w:pPr>
              <w:spacing w:before="60" w:after="60"/>
              <w:jc w:val="both"/>
            </w:pPr>
          </w:p>
          <w:p w:rsidR="00887F9E" w:rsidRDefault="00887F9E" w:rsidP="00887F9E">
            <w:pPr>
              <w:spacing w:before="60" w:after="60"/>
              <w:jc w:val="both"/>
            </w:pPr>
          </w:p>
          <w:p w:rsidR="00887F9E" w:rsidRDefault="00887F9E" w:rsidP="00887F9E">
            <w:pPr>
              <w:spacing w:before="60" w:after="60"/>
              <w:jc w:val="both"/>
            </w:pPr>
          </w:p>
          <w:p w:rsidR="00887F9E" w:rsidRDefault="00887F9E" w:rsidP="00887F9E">
            <w:pPr>
              <w:spacing w:before="60" w:after="60"/>
              <w:jc w:val="both"/>
            </w:pPr>
          </w:p>
          <w:p w:rsidR="00887F9E" w:rsidRDefault="00887F9E" w:rsidP="00887F9E">
            <w:pPr>
              <w:spacing w:before="60" w:after="60"/>
              <w:jc w:val="both"/>
            </w:pPr>
          </w:p>
          <w:p w:rsidR="00887F9E" w:rsidRDefault="00887F9E" w:rsidP="00887F9E">
            <w:pPr>
              <w:spacing w:before="60" w:after="60"/>
              <w:jc w:val="both"/>
            </w:pPr>
          </w:p>
        </w:tc>
      </w:tr>
      <w:tr w:rsidR="00887F9E" w:rsidTr="00541FBA">
        <w:trPr>
          <w:trHeight w:val="440"/>
        </w:trPr>
        <w:tc>
          <w:tcPr>
            <w:tcW w:w="5388" w:type="dxa"/>
          </w:tcPr>
          <w:p w:rsidR="00887F9E" w:rsidRDefault="00887F9E" w:rsidP="00887F9E">
            <w:pPr>
              <w:spacing w:before="60" w:after="60"/>
              <w:jc w:val="both"/>
            </w:pPr>
            <w:r>
              <w:t>Taschenwärmer</w:t>
            </w:r>
            <w:r>
              <w:rPr>
                <w:rStyle w:val="Funotenzeichen"/>
              </w:rPr>
              <w:footnoteReference w:id="1"/>
            </w:r>
          </w:p>
        </w:tc>
      </w:tr>
    </w:tbl>
    <w:p w:rsidR="00887F9E" w:rsidRPr="0053377A" w:rsidRDefault="00887F9E" w:rsidP="00887F9E">
      <w:pPr>
        <w:spacing w:before="60" w:after="60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41910</wp:posOffset>
            </wp:positionV>
            <wp:extent cx="3352800" cy="2082165"/>
            <wp:effectExtent l="19050" t="0" r="0" b="0"/>
            <wp:wrapTight wrapText="bothSides">
              <wp:wrapPolygon edited="0">
                <wp:start x="-123" y="0"/>
                <wp:lineTo x="-123" y="21343"/>
                <wp:lineTo x="21600" y="21343"/>
                <wp:lineTo x="21600" y="0"/>
                <wp:lineTo x="-123" y="0"/>
              </wp:wrapPolygon>
            </wp:wrapTight>
            <wp:docPr id="2" name="Bild 2" descr="File:Handwaermer1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Handwaermer1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77A">
        <w:t>Ein Taschenwärmer enthält in einer Kunststoffhülle eine gesättigte Natr</w:t>
      </w:r>
      <w:r w:rsidRPr="0053377A">
        <w:t>i</w:t>
      </w:r>
      <w:r w:rsidRPr="0053377A">
        <w:t>umacetat-Lösung und ein Metal</w:t>
      </w:r>
      <w:r w:rsidRPr="0053377A">
        <w:t>l</w:t>
      </w:r>
      <w:r w:rsidRPr="0053377A">
        <w:t>plättchen. Wird das Metallplättchen geknickt, kristallisiert der Inhalt und der Taschenwärmer erwärmt sich. Er erkaltet erst nach einiger Zeit.</w:t>
      </w:r>
    </w:p>
    <w:p w:rsidR="00887F9E" w:rsidRPr="0053377A" w:rsidRDefault="00887F9E" w:rsidP="00887F9E">
      <w:pPr>
        <w:spacing w:before="60" w:after="60"/>
        <w:jc w:val="both"/>
      </w:pPr>
      <w:r>
        <w:t>Der benutzte Taschenwärmer kann wieder „aufgeladen“ werden. Dazu w</w:t>
      </w:r>
      <w:r w:rsidRPr="0053377A">
        <w:t>ird der erkaltete Taschenwärmer in kochendes Wasser gegeben</w:t>
      </w:r>
      <w:r>
        <w:t>. Dann</w:t>
      </w:r>
      <w:r w:rsidRPr="0053377A">
        <w:t xml:space="preserve"> verflüssig</w:t>
      </w:r>
      <w:r>
        <w:t>t</w:t>
      </w:r>
      <w:r w:rsidRPr="0053377A">
        <w:t xml:space="preserve"> sich dessen Inhalt wieder</w:t>
      </w:r>
      <w:r>
        <w:t>. Nach Abkühlung</w:t>
      </w:r>
      <w:r w:rsidRPr="0053377A">
        <w:t xml:space="preserve"> kann </w:t>
      </w:r>
      <w:r>
        <w:t xml:space="preserve">er </w:t>
      </w:r>
      <w:r w:rsidRPr="0053377A">
        <w:t>erneut b</w:t>
      </w:r>
      <w:r w:rsidRPr="0053377A">
        <w:t>e</w:t>
      </w:r>
      <w:r w:rsidRPr="0053377A">
        <w:t>nutzt werden.</w:t>
      </w:r>
    </w:p>
    <w:p w:rsidR="00887F9E" w:rsidRDefault="00887F9E" w:rsidP="00887F9E">
      <w:pPr>
        <w:spacing w:before="60" w:after="60"/>
        <w:rPr>
          <w:b/>
        </w:rPr>
      </w:pPr>
    </w:p>
    <w:p w:rsidR="00887F9E" w:rsidRPr="00122ADB" w:rsidRDefault="00887F9E" w:rsidP="00887F9E">
      <w:pPr>
        <w:spacing w:before="60" w:after="60"/>
        <w:rPr>
          <w:b/>
        </w:rPr>
      </w:pPr>
      <w:r w:rsidRPr="00122ADB">
        <w:rPr>
          <w:b/>
        </w:rPr>
        <w:t>Aufgabe:</w:t>
      </w:r>
    </w:p>
    <w:p w:rsidR="00887F9E" w:rsidRPr="00122ADB" w:rsidRDefault="00887F9E" w:rsidP="00887F9E">
      <w:pPr>
        <w:spacing w:before="60" w:after="60"/>
        <w:rPr>
          <w:rStyle w:val="Fett"/>
          <w:b w:val="0"/>
        </w:rPr>
      </w:pPr>
      <w:r w:rsidRPr="00122ADB">
        <w:rPr>
          <w:rStyle w:val="Fett"/>
          <w:b w:val="0"/>
        </w:rPr>
        <w:t>Beschreibe die Änderung</w:t>
      </w:r>
      <w:r>
        <w:rPr>
          <w:rStyle w:val="Fett"/>
          <w:b w:val="0"/>
        </w:rPr>
        <w:t xml:space="preserve">en </w:t>
      </w:r>
      <w:r w:rsidRPr="00122ADB">
        <w:rPr>
          <w:rStyle w:val="Fett"/>
          <w:b w:val="0"/>
        </w:rPr>
        <w:t xml:space="preserve"> de</w:t>
      </w:r>
      <w:r>
        <w:rPr>
          <w:rStyle w:val="Fett"/>
          <w:b w:val="0"/>
        </w:rPr>
        <w:t>r</w:t>
      </w:r>
      <w:r w:rsidRPr="00122ADB">
        <w:rPr>
          <w:rStyle w:val="Fett"/>
          <w:b w:val="0"/>
        </w:rPr>
        <w:t xml:space="preserve"> Energie</w:t>
      </w:r>
      <w:r w:rsidR="00541FBA">
        <w:rPr>
          <w:rStyle w:val="Fett"/>
          <w:b w:val="0"/>
        </w:rPr>
        <w:t>ge</w:t>
      </w:r>
      <w:r w:rsidRPr="00122ADB">
        <w:rPr>
          <w:rStyle w:val="Fett"/>
          <w:b w:val="0"/>
        </w:rPr>
        <w:t>halt</w:t>
      </w:r>
      <w:r>
        <w:rPr>
          <w:rStyle w:val="Fett"/>
          <w:b w:val="0"/>
        </w:rPr>
        <w:t xml:space="preserve">e des </w:t>
      </w:r>
      <w:proofErr w:type="spellStart"/>
      <w:r w:rsidRPr="00122ADB">
        <w:rPr>
          <w:rStyle w:val="Fett"/>
          <w:b w:val="0"/>
        </w:rPr>
        <w:t>Taschenwärmer</w:t>
      </w:r>
      <w:r>
        <w:rPr>
          <w:rStyle w:val="Fett"/>
          <w:b w:val="0"/>
        </w:rPr>
        <w:t>s</w:t>
      </w:r>
      <w:proofErr w:type="spellEnd"/>
      <w:r>
        <w:rPr>
          <w:rStyle w:val="Fett"/>
          <w:b w:val="0"/>
        </w:rPr>
        <w:t xml:space="preserve"> für </w:t>
      </w:r>
      <w:r w:rsidR="00541FBA">
        <w:rPr>
          <w:rStyle w:val="Fett"/>
          <w:b w:val="0"/>
        </w:rPr>
        <w:t>die Nutzung und „Aufladung“.</w:t>
      </w:r>
    </w:p>
    <w:p w:rsidR="00887F9E" w:rsidRDefault="00887F9E" w:rsidP="00887F9E">
      <w:pPr>
        <w:pBdr>
          <w:between w:val="single" w:sz="4" w:space="1" w:color="auto"/>
        </w:pBdr>
        <w:spacing w:before="60" w:after="60"/>
        <w:rPr>
          <w:b/>
        </w:rPr>
      </w:pPr>
    </w:p>
    <w:p w:rsidR="00F5187C" w:rsidRDefault="00F5187C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541FBA" w:rsidRDefault="00541FBA" w:rsidP="004F3656"/>
    <w:p w:rsidR="00541FBA" w:rsidRDefault="00541FBA" w:rsidP="004F3656"/>
    <w:p w:rsidR="00541FBA" w:rsidRDefault="00541FBA" w:rsidP="004F3656"/>
    <w:p w:rsidR="00541FBA" w:rsidRDefault="00541FBA" w:rsidP="004F3656"/>
    <w:p w:rsidR="00541FBA" w:rsidRDefault="00541FBA" w:rsidP="004F3656"/>
    <w:p w:rsidR="00541FBA" w:rsidRDefault="00541FBA" w:rsidP="004F3656"/>
    <w:p w:rsidR="00541FBA" w:rsidRDefault="00541FBA" w:rsidP="004F3656"/>
    <w:p w:rsidR="00541FBA" w:rsidRDefault="00541FBA" w:rsidP="004F3656"/>
    <w:p w:rsidR="00541FBA" w:rsidRDefault="00541FBA" w:rsidP="004F3656"/>
    <w:p w:rsidR="00541FBA" w:rsidRDefault="00541FBA" w:rsidP="004F3656"/>
    <w:p w:rsidR="00541FBA" w:rsidRDefault="00541FBA" w:rsidP="004F3656"/>
    <w:p w:rsidR="00541FBA" w:rsidRDefault="00541FBA" w:rsidP="004F3656"/>
    <w:p w:rsidR="00EE050F" w:rsidRDefault="00EE050F" w:rsidP="004F3656"/>
    <w:p w:rsidR="00EE050F" w:rsidRDefault="00EE050F" w:rsidP="004F3656"/>
    <w:p w:rsidR="00EE050F" w:rsidRDefault="00EE050F" w:rsidP="004F3656"/>
    <w:p w:rsidR="00F57331" w:rsidRPr="00065351" w:rsidRDefault="00EE050F" w:rsidP="00EE050F">
      <w:pPr>
        <w:rPr>
          <w:b/>
        </w:rPr>
      </w:pPr>
      <w:r w:rsidRPr="00EE050F">
        <w:rPr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5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FBA" w:rsidRPr="00065351">
        <w:t xml:space="preserve"> </w:t>
      </w:r>
      <w:r w:rsidRPr="00065351">
        <w:t>LISUM 2015</w:t>
      </w:r>
      <w:r w:rsidR="00F57331" w:rsidRPr="00065351">
        <w:rPr>
          <w:b/>
        </w:rPr>
        <w:br w:type="page"/>
      </w:r>
    </w:p>
    <w:p w:rsidR="00F57331" w:rsidRPr="00EE050F" w:rsidRDefault="00F57331" w:rsidP="00F57331">
      <w:pPr>
        <w:rPr>
          <w:b/>
        </w:rPr>
      </w:pPr>
      <w:r w:rsidRPr="00EE050F">
        <w:rPr>
          <w:b/>
        </w:rPr>
        <w:lastRenderedPageBreak/>
        <w:t>Erwartungshorizont:</w:t>
      </w:r>
    </w:p>
    <w:p w:rsidR="00F57331" w:rsidRDefault="00F57331" w:rsidP="00541FBA">
      <w:pPr>
        <w:spacing w:before="60" w:after="60"/>
        <w:rPr>
          <w:rStyle w:val="Fett"/>
          <w:b w:val="0"/>
        </w:rPr>
      </w:pPr>
    </w:p>
    <w:p w:rsidR="00541FBA" w:rsidRPr="00122ADB" w:rsidRDefault="00541FBA" w:rsidP="00541FBA">
      <w:pPr>
        <w:spacing w:before="60" w:after="60"/>
        <w:rPr>
          <w:rStyle w:val="Fett"/>
          <w:b w:val="0"/>
        </w:rPr>
      </w:pPr>
      <w:r w:rsidRPr="00122ADB">
        <w:rPr>
          <w:rStyle w:val="Fett"/>
          <w:b w:val="0"/>
        </w:rPr>
        <w:t>Beschreibe die Änderung</w:t>
      </w:r>
      <w:r>
        <w:rPr>
          <w:rStyle w:val="Fett"/>
          <w:b w:val="0"/>
        </w:rPr>
        <w:t xml:space="preserve">en </w:t>
      </w:r>
      <w:r w:rsidRPr="00122ADB">
        <w:rPr>
          <w:rStyle w:val="Fett"/>
          <w:b w:val="0"/>
        </w:rPr>
        <w:t xml:space="preserve"> de</w:t>
      </w:r>
      <w:r>
        <w:rPr>
          <w:rStyle w:val="Fett"/>
          <w:b w:val="0"/>
        </w:rPr>
        <w:t>r</w:t>
      </w:r>
      <w:r w:rsidRPr="00122ADB">
        <w:rPr>
          <w:rStyle w:val="Fett"/>
          <w:b w:val="0"/>
        </w:rPr>
        <w:t xml:space="preserve"> Energie</w:t>
      </w:r>
      <w:r>
        <w:rPr>
          <w:rStyle w:val="Fett"/>
          <w:b w:val="0"/>
        </w:rPr>
        <w:t>ge</w:t>
      </w:r>
      <w:r w:rsidRPr="00122ADB">
        <w:rPr>
          <w:rStyle w:val="Fett"/>
          <w:b w:val="0"/>
        </w:rPr>
        <w:t>halt</w:t>
      </w:r>
      <w:r>
        <w:rPr>
          <w:rStyle w:val="Fett"/>
          <w:b w:val="0"/>
        </w:rPr>
        <w:t xml:space="preserve">e des </w:t>
      </w:r>
      <w:proofErr w:type="spellStart"/>
      <w:r w:rsidRPr="00122ADB">
        <w:rPr>
          <w:rStyle w:val="Fett"/>
          <w:b w:val="0"/>
        </w:rPr>
        <w:t>Taschenwärmer</w:t>
      </w:r>
      <w:r>
        <w:rPr>
          <w:rStyle w:val="Fett"/>
          <w:b w:val="0"/>
        </w:rPr>
        <w:t>s</w:t>
      </w:r>
      <w:proofErr w:type="spellEnd"/>
      <w:r>
        <w:rPr>
          <w:rStyle w:val="Fett"/>
          <w:b w:val="0"/>
        </w:rPr>
        <w:t xml:space="preserve"> für die Nutzung und „Aufladung“.</w:t>
      </w:r>
    </w:p>
    <w:p w:rsidR="00C2144F" w:rsidRDefault="00C2144F" w:rsidP="00BF22FF">
      <w:pPr>
        <w:spacing w:before="60" w:after="60"/>
        <w:rPr>
          <w:b/>
        </w:rPr>
      </w:pPr>
    </w:p>
    <w:p w:rsidR="00541FBA" w:rsidRPr="00122ADB" w:rsidRDefault="00541FBA" w:rsidP="00541FBA">
      <w:pPr>
        <w:spacing w:before="60" w:after="60"/>
      </w:pPr>
      <w:r w:rsidRPr="00122ADB">
        <w:t xml:space="preserve">Der einsetzende Kristallisationsprozess nach dem Knicken des Metallplättchens </w:t>
      </w:r>
      <w:r>
        <w:t>ist ein</w:t>
      </w:r>
      <w:r w:rsidRPr="00122ADB">
        <w:t xml:space="preserve"> ex</w:t>
      </w:r>
      <w:r w:rsidRPr="00122ADB">
        <w:t>o</w:t>
      </w:r>
      <w:r w:rsidRPr="00122ADB">
        <w:t xml:space="preserve">thermer Vorgang, da Wärmeenergie an die Umgebung (hier Luft oder </w:t>
      </w:r>
      <w:r>
        <w:t xml:space="preserve">den </w:t>
      </w:r>
      <w:r w:rsidRPr="00122ADB">
        <w:t>zu wärmende</w:t>
      </w:r>
      <w:r>
        <w:t>n</w:t>
      </w:r>
      <w:r w:rsidRPr="00122ADB">
        <w:t xml:space="preserve"> Gegenstand) abgegeben wird. Der Energiegehalt de</w:t>
      </w:r>
      <w:r>
        <w:t>r</w:t>
      </w:r>
      <w:r w:rsidRPr="00122ADB">
        <w:t xml:space="preserve"> Inhalts</w:t>
      </w:r>
      <w:r>
        <w:t>stoffe</w:t>
      </w:r>
      <w:r w:rsidRPr="00122ADB">
        <w:t xml:space="preserve"> des </w:t>
      </w:r>
      <w:proofErr w:type="spellStart"/>
      <w:r w:rsidRPr="00122ADB">
        <w:t>Taschenwärmers</w:t>
      </w:r>
      <w:proofErr w:type="spellEnd"/>
      <w:r w:rsidRPr="00122ADB">
        <w:t xml:space="preserve"> nimmt ab.</w:t>
      </w:r>
    </w:p>
    <w:p w:rsidR="00541FBA" w:rsidRPr="00122ADB" w:rsidRDefault="00541FBA" w:rsidP="00541FBA">
      <w:pPr>
        <w:spacing w:before="60" w:after="60"/>
      </w:pPr>
      <w:r w:rsidRPr="00122ADB">
        <w:t>Das erneute Lösen des Natriumacetats durch Zufuhr von Wärme ist ein endothermer Vo</w:t>
      </w:r>
      <w:r w:rsidRPr="00122ADB">
        <w:t>r</w:t>
      </w:r>
      <w:r w:rsidRPr="00122ADB">
        <w:t>gang. Der Energiegehalt de</w:t>
      </w:r>
      <w:r>
        <w:t>r</w:t>
      </w:r>
      <w:r w:rsidRPr="00122ADB">
        <w:t xml:space="preserve"> Inhalts</w:t>
      </w:r>
      <w:r>
        <w:t>stoffe</w:t>
      </w:r>
      <w:r w:rsidRPr="00122ADB">
        <w:t xml:space="preserve"> des </w:t>
      </w:r>
      <w:proofErr w:type="spellStart"/>
      <w:r w:rsidRPr="00122ADB">
        <w:t>Taschenwärmers</w:t>
      </w:r>
      <w:proofErr w:type="spellEnd"/>
      <w:r w:rsidRPr="00122ADB">
        <w:t xml:space="preserve"> nimmt zu.</w:t>
      </w:r>
    </w:p>
    <w:p w:rsidR="00541FBA" w:rsidRDefault="00541FBA" w:rsidP="00541FBA">
      <w:pPr>
        <w:spacing w:before="60" w:after="60"/>
      </w:pPr>
    </w:p>
    <w:p w:rsidR="00EE050F" w:rsidRDefault="00EE050F" w:rsidP="00541FBA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EE050F" w:rsidRDefault="00EE050F" w:rsidP="00EE050F">
      <w:pPr>
        <w:spacing w:before="60" w:after="60"/>
      </w:pPr>
    </w:p>
    <w:p w:rsidR="00C2144F" w:rsidRPr="00C2144F" w:rsidRDefault="00EE050F" w:rsidP="00EE050F">
      <w:pPr>
        <w:spacing w:before="60" w:after="60"/>
        <w:rPr>
          <w:sz w:val="2"/>
          <w:szCs w:val="2"/>
        </w:rPr>
      </w:pPr>
      <w:r w:rsidRPr="00EE050F">
        <w:rPr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14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C2144F" w:rsidRPr="00C2144F" w:rsidSect="004851BE">
      <w:head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3F" w:rsidRDefault="0001173F" w:rsidP="00837EC7">
      <w:pPr>
        <w:spacing w:line="240" w:lineRule="auto"/>
      </w:pPr>
      <w:r>
        <w:separator/>
      </w:r>
    </w:p>
  </w:endnote>
  <w:endnote w:type="continuationSeparator" w:id="0">
    <w:p w:rsidR="0001173F" w:rsidRDefault="0001173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06535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3F" w:rsidRDefault="0001173F" w:rsidP="00837EC7">
      <w:pPr>
        <w:spacing w:line="240" w:lineRule="auto"/>
      </w:pPr>
      <w:r>
        <w:separator/>
      </w:r>
    </w:p>
  </w:footnote>
  <w:footnote w:type="continuationSeparator" w:id="0">
    <w:p w:rsidR="0001173F" w:rsidRDefault="0001173F" w:rsidP="00837EC7">
      <w:pPr>
        <w:spacing w:line="240" w:lineRule="auto"/>
      </w:pPr>
      <w:r>
        <w:continuationSeparator/>
      </w:r>
    </w:p>
  </w:footnote>
  <w:footnote w:id="1">
    <w:p w:rsidR="00887F9E" w:rsidRPr="00887F9E" w:rsidRDefault="00887F9E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887F9E">
        <w:rPr>
          <w:lang w:val="en-US"/>
        </w:rPr>
        <w:t xml:space="preserve"> </w:t>
      </w:r>
      <w:hyperlink r:id="rId1" w:tooltip="Category:CC-BY-SA-3.0" w:history="1">
        <w:r w:rsidRPr="00F57331">
          <w:rPr>
            <w:rStyle w:val="Hyperlink"/>
            <w:sz w:val="21"/>
            <w:szCs w:val="21"/>
            <w:lang w:val="en-US"/>
          </w:rPr>
          <w:t>CC-BY-SA-3.0</w:t>
        </w:r>
      </w:hyperlink>
      <w:r w:rsidRPr="00F57331">
        <w:rPr>
          <w:sz w:val="21"/>
          <w:szCs w:val="21"/>
          <w:lang w:val="en-US"/>
        </w:rPr>
        <w:t xml:space="preserve"> </w:t>
      </w:r>
      <w:hyperlink r:id="rId2" w:history="1">
        <w:r w:rsidRPr="004B77DD">
          <w:rPr>
            <w:rStyle w:val="Hyperlink"/>
            <w:lang w:val="en-US"/>
          </w:rPr>
          <w:t>http://commons.wikimedia.org/wiki/File:Handwaermer12.jpg</w:t>
        </w:r>
      </w:hyperlink>
      <w:r>
        <w:rPr>
          <w:lang w:val="en-US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0F" w:rsidRPr="00142DFA" w:rsidRDefault="00EE050F" w:rsidP="00EE050F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  <w:p w:rsidR="00C2144F" w:rsidRPr="00EE050F" w:rsidRDefault="00C2144F" w:rsidP="00EE050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173F"/>
    <w:rsid w:val="0004165F"/>
    <w:rsid w:val="00065351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25510"/>
    <w:rsid w:val="00334567"/>
    <w:rsid w:val="00363539"/>
    <w:rsid w:val="00381AB2"/>
    <w:rsid w:val="003F4234"/>
    <w:rsid w:val="0040115E"/>
    <w:rsid w:val="004072A0"/>
    <w:rsid w:val="00411347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41FBA"/>
    <w:rsid w:val="005552B7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87F9E"/>
    <w:rsid w:val="008A1768"/>
    <w:rsid w:val="008B1D49"/>
    <w:rsid w:val="008B6E6E"/>
    <w:rsid w:val="008E2ED1"/>
    <w:rsid w:val="008E7D45"/>
    <w:rsid w:val="008F78E6"/>
    <w:rsid w:val="00937B60"/>
    <w:rsid w:val="0095558E"/>
    <w:rsid w:val="009652EE"/>
    <w:rsid w:val="00971722"/>
    <w:rsid w:val="009A1D85"/>
    <w:rsid w:val="009F42E4"/>
    <w:rsid w:val="00A20523"/>
    <w:rsid w:val="00A366CC"/>
    <w:rsid w:val="00A5278D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93D40"/>
    <w:rsid w:val="00CB3549"/>
    <w:rsid w:val="00D0707C"/>
    <w:rsid w:val="00D226DE"/>
    <w:rsid w:val="00D270BC"/>
    <w:rsid w:val="00D41BE0"/>
    <w:rsid w:val="00DC762A"/>
    <w:rsid w:val="00DD0C30"/>
    <w:rsid w:val="00DF308F"/>
    <w:rsid w:val="00E07A06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E050F"/>
    <w:rsid w:val="00F17F92"/>
    <w:rsid w:val="00F2257F"/>
    <w:rsid w:val="00F372D1"/>
    <w:rsid w:val="00F5187C"/>
    <w:rsid w:val="00F57331"/>
    <w:rsid w:val="00F645E2"/>
    <w:rsid w:val="00F86862"/>
    <w:rsid w:val="00FA0BB9"/>
    <w:rsid w:val="00FB2550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Fett">
    <w:name w:val="Strong"/>
    <w:uiPriority w:val="22"/>
    <w:qFormat/>
    <w:rsid w:val="00887F9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87F9E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887F9E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commons/thumb/8/8c/Handwaermer12.jpg/800px-Handwaermer12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8/8c/Handwaermer12.jpg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ommons.wikimedia.org/wiki/File:Handwaermer12.jpg" TargetMode="External"/><Relationship Id="rId1" Type="http://schemas.openxmlformats.org/officeDocument/2006/relationships/hyperlink" Target="http://commons.wikimedia.org/wiki/Category:CC-BY-SA-3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7F896-EFDE-493A-BD78-E0E1C703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2015-11-02T13:40:00Z</cp:lastPrinted>
  <dcterms:created xsi:type="dcterms:W3CDTF">2015-12-18T11:11:00Z</dcterms:created>
  <dcterms:modified xsi:type="dcterms:W3CDTF">2015-12-18T11:11:00Z</dcterms:modified>
</cp:coreProperties>
</file>