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D06AA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321743">
            <w:pPr>
              <w:spacing w:before="200" w:after="200"/>
            </w:pPr>
            <w:r>
              <w:t>Kommunikation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9924B0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BD014C">
            <w:pPr>
              <w:tabs>
                <w:tab w:val="left" w:pos="1373"/>
              </w:tabs>
              <w:spacing w:before="200" w:after="200"/>
            </w:pPr>
            <w:r>
              <w:t xml:space="preserve">Informationen weitergeben – </w:t>
            </w:r>
            <w:r w:rsidR="00BD014C">
              <w:t>Präsentieren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BE7704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924B0" w:rsidP="006B0C38">
            <w:pPr>
              <w:tabs>
                <w:tab w:val="left" w:pos="1190"/>
              </w:tabs>
              <w:spacing w:before="200" w:after="200"/>
            </w:pPr>
            <w:r>
              <w:t>Die Schülerinnen und Schüler</w:t>
            </w:r>
            <w:r w:rsidR="004318F5">
              <w:t xml:space="preserve"> können</w:t>
            </w:r>
            <w:r>
              <w:t xml:space="preserve"> </w:t>
            </w:r>
            <w:r w:rsidR="00A32FBC">
              <w:t xml:space="preserve">sach-, situations- und </w:t>
            </w:r>
            <w:proofErr w:type="spellStart"/>
            <w:r w:rsidR="00A32FBC">
              <w:t>adressatenbezogen</w:t>
            </w:r>
            <w:proofErr w:type="spellEnd"/>
            <w:r w:rsidR="00A32FBC">
              <w:t xml:space="preserve"> Untersuchungsmethoden und Ergebnisse präsentieren.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0B7C08" w:rsidP="006B37E6">
            <w:pPr>
              <w:tabs>
                <w:tab w:val="left" w:pos="1190"/>
              </w:tabs>
              <w:spacing w:before="200" w:after="200"/>
            </w:pPr>
            <w:r>
              <w:t xml:space="preserve">TF 8: Säuren und Laugen </w:t>
            </w:r>
            <w:r w:rsidR="006B37E6">
              <w:t>–</w:t>
            </w:r>
            <w:r>
              <w:t xml:space="preserve"> </w:t>
            </w:r>
            <w:r w:rsidR="006B37E6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B37E6" w:rsidP="00321743">
            <w:pPr>
              <w:tabs>
                <w:tab w:val="left" w:pos="1190"/>
              </w:tabs>
              <w:spacing w:before="200" w:after="200"/>
            </w:pPr>
            <w:r>
              <w:t xml:space="preserve">BC Sprachbildung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B0C38" w:rsidRPr="006B0C38" w:rsidRDefault="006B37E6" w:rsidP="00321743">
            <w:pPr>
              <w:tabs>
                <w:tab w:val="left" w:pos="1190"/>
              </w:tabs>
              <w:spacing w:before="200" w:after="200"/>
              <w:rPr>
                <w:b/>
                <w:color w:val="9BBB59" w:themeColor="accent3"/>
                <w:sz w:val="20"/>
                <w:szCs w:val="20"/>
              </w:rPr>
            </w:pPr>
            <w:r>
              <w:t>Die Schülerinnen und Schüler können</w:t>
            </w:r>
            <w:r w:rsidRPr="007D509D">
              <w:t xml:space="preserve"> Arbeitsergebnisse aus Einzel-, Partner- und Gruppenarbeit präsentieren</w:t>
            </w:r>
            <w:r w:rsidRPr="006B37E6">
              <w:rPr>
                <w:b/>
              </w:rPr>
              <w:t>.</w:t>
            </w:r>
            <w:r w:rsidRPr="006B37E6">
              <w:rPr>
                <w:b/>
                <w:color w:val="9BBB59" w:themeColor="accent3"/>
              </w:rPr>
              <w:t xml:space="preserve">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896DAD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896DAD">
              <w:rPr>
                <w:b/>
              </w:rPr>
              <w:t xml:space="preserve">: </w:t>
            </w:r>
            <w:r w:rsidR="00A32FBC">
              <w:rPr>
                <w:b/>
                <w:sz w:val="24"/>
                <w:szCs w:val="24"/>
              </w:rPr>
              <w:t>x</w:t>
            </w:r>
            <w:r w:rsidR="00896D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A32FB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896DAD">
              <w:rPr>
                <w:b/>
              </w:rPr>
              <w:t>:</w:t>
            </w:r>
            <w:r w:rsidR="004318F5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896DA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896DAD" w:rsidP="00321743">
            <w:pPr>
              <w:spacing w:before="200" w:after="200"/>
            </w:pPr>
            <w:r>
              <w:t>Neutralisation, Präsentieren, Diagramm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66FF2" w:rsidRDefault="00066FF2" w:rsidP="00BF22FF">
      <w:pPr>
        <w:spacing w:before="60" w:after="60"/>
        <w:rPr>
          <w:b/>
          <w:sz w:val="24"/>
          <w:szCs w:val="24"/>
        </w:rPr>
      </w:pPr>
    </w:p>
    <w:p w:rsidR="00066FF2" w:rsidRDefault="00A32FBC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Präsentieren von Untersuchungsergebnissen</w:t>
      </w:r>
    </w:p>
    <w:p w:rsidR="00BD014C" w:rsidRDefault="003744AD" w:rsidP="00BD014C">
      <w:pPr>
        <w:spacing w:before="60" w:after="60"/>
        <w:jc w:val="both"/>
      </w:pPr>
      <w:r w:rsidRPr="00066FF2">
        <w:t>Bei der Reaktion von Salzsäure mit Natronlauge findet eine Neutralisation statt.</w:t>
      </w:r>
      <w:r>
        <w:t xml:space="preserve"> Der </w:t>
      </w:r>
      <w:proofErr w:type="spellStart"/>
      <w:r>
        <w:t>Äquivalenzpunkt</w:t>
      </w:r>
      <w:proofErr w:type="spellEnd"/>
      <w:r>
        <w:t xml:space="preserve">/Neutralpunkt lässt sich </w:t>
      </w:r>
      <w:r w:rsidRPr="00B468EB">
        <w:rPr>
          <w:i/>
        </w:rPr>
        <w:t>auch</w:t>
      </w:r>
      <w:r>
        <w:t xml:space="preserve"> durch Temperaturmessungen während der chemischen Reaktion ermitteln.</w:t>
      </w:r>
      <w:r w:rsidR="00BD014C">
        <w:t xml:space="preserve"> </w:t>
      </w:r>
      <w:r w:rsidR="00BD014C" w:rsidRPr="00066FF2">
        <w:t>Bei d</w:t>
      </w:r>
      <w:r w:rsidR="00BD014C">
        <w:t>ies</w:t>
      </w:r>
      <w:r w:rsidR="00BD014C" w:rsidRPr="00066FF2">
        <w:t xml:space="preserve">er Reaktion </w:t>
      </w:r>
      <w:r w:rsidR="00BD014C">
        <w:t>wurde die Temperatur des Reaktion</w:t>
      </w:r>
      <w:r w:rsidR="00BD014C">
        <w:t>s</w:t>
      </w:r>
      <w:r w:rsidR="00BD014C">
        <w:t>gemisches jeweils nach Zugabe von 5 ml Salzsäure in Natronlauge gemessen. Dabei wu</w:t>
      </w:r>
      <w:r w:rsidR="00BD014C">
        <w:t>r</w:t>
      </w:r>
      <w:r w:rsidR="00BD014C">
        <w:t xml:space="preserve">den folgende </w:t>
      </w:r>
      <w:proofErr w:type="spellStart"/>
      <w:r w:rsidR="00BD014C">
        <w:t>Messergebnisse</w:t>
      </w:r>
      <w:proofErr w:type="spellEnd"/>
      <w:r w:rsidR="00BD014C">
        <w:t xml:space="preserve"> festgehalten:</w:t>
      </w:r>
    </w:p>
    <w:p w:rsidR="00BD014C" w:rsidRDefault="00BD014C" w:rsidP="00BD014C">
      <w:pPr>
        <w:spacing w:before="60" w:after="60"/>
        <w:jc w:val="both"/>
      </w:pPr>
    </w:p>
    <w:tbl>
      <w:tblPr>
        <w:tblW w:w="0" w:type="auto"/>
        <w:tblLook w:val="04A0"/>
      </w:tblPr>
      <w:tblGrid>
        <w:gridCol w:w="4361"/>
        <w:gridCol w:w="4849"/>
      </w:tblGrid>
      <w:tr w:rsidR="00BD014C" w:rsidTr="00E3198D">
        <w:tc>
          <w:tcPr>
            <w:tcW w:w="4361" w:type="dxa"/>
          </w:tcPr>
          <w:p w:rsidR="00896DAD" w:rsidRDefault="000805FA" w:rsidP="00896DAD">
            <w:pPr>
              <w:spacing w:before="60" w:after="6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>
                  <wp:extent cx="1849755" cy="3423920"/>
                  <wp:effectExtent l="0" t="0" r="0" b="5080"/>
                  <wp:docPr id="2" name="Bild 2" descr="SAM_0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0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437" r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342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DAD">
              <w:rPr>
                <w:sz w:val="2"/>
                <w:szCs w:val="2"/>
              </w:rPr>
              <w:t xml:space="preserve">(    </w:t>
            </w:r>
          </w:p>
          <w:p w:rsidR="00BD014C" w:rsidRPr="00896DAD" w:rsidRDefault="00896DAD" w:rsidP="00896DAD">
            <w:pPr>
              <w:spacing w:before="60" w:after="60"/>
              <w:rPr>
                <w:sz w:val="16"/>
                <w:szCs w:val="16"/>
              </w:rPr>
            </w:pPr>
            <w:r w:rsidRPr="00896D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Bild: K. Fritsch, LISUM)</w:t>
            </w:r>
          </w:p>
        </w:tc>
        <w:tc>
          <w:tcPr>
            <w:tcW w:w="4849" w:type="dxa"/>
          </w:tcPr>
          <w:tbl>
            <w:tblPr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2187"/>
              <w:gridCol w:w="2187"/>
            </w:tblGrid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V</w:t>
                  </w:r>
                  <w:r w:rsidRPr="00BD014C">
                    <w:rPr>
                      <w:rFonts w:eastAsiaTheme="majorEastAsia" w:cstheme="majorBidi"/>
                      <w:b/>
                      <w:bCs/>
                      <w:vertAlign w:val="subscript"/>
                    </w:rPr>
                    <w:t>HCL</w:t>
                  </w:r>
                  <w:r w:rsidRPr="00BD014C">
                    <w:rPr>
                      <w:rFonts w:eastAsiaTheme="majorEastAsia" w:cstheme="majorBidi"/>
                      <w:b/>
                      <w:bCs/>
                    </w:rPr>
                    <w:t xml:space="preserve"> in ml</w:t>
                  </w:r>
                </w:p>
              </w:tc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ascii="Symbol" w:eastAsiaTheme="majorEastAsia" w:hAnsi="Symbol" w:cstheme="majorBidi"/>
                      <w:bCs/>
                    </w:rPr>
                    <w:t></w:t>
                  </w:r>
                  <w:r w:rsidRPr="00BD014C">
                    <w:rPr>
                      <w:rFonts w:eastAsiaTheme="majorEastAsia" w:cstheme="majorBidi"/>
                      <w:b/>
                      <w:bCs/>
                    </w:rPr>
                    <w:t xml:space="preserve"> in °C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0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20,5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5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21,6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10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22,7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15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23,4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20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24,2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25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24,7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30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25,2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35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25,8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40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26,2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45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26,4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50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26,7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55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26,3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60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26,1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65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25,8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70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25,6</w:t>
                  </w:r>
                </w:p>
              </w:tc>
            </w:tr>
            <w:tr w:rsidR="00BD014C" w:rsidTr="00BD014C">
              <w:tc>
                <w:tcPr>
                  <w:tcW w:w="2187" w:type="dxa"/>
                </w:tcPr>
                <w:p w:rsidR="00BD014C" w:rsidRPr="00BD014C" w:rsidRDefault="00BD014C" w:rsidP="00BD014C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BD014C">
                    <w:rPr>
                      <w:rFonts w:eastAsiaTheme="majorEastAsia" w:cstheme="majorBidi"/>
                      <w:b/>
                      <w:bCs/>
                    </w:rPr>
                    <w:t>75</w:t>
                  </w:r>
                </w:p>
              </w:tc>
              <w:tc>
                <w:tcPr>
                  <w:tcW w:w="2187" w:type="dxa"/>
                </w:tcPr>
                <w:p w:rsidR="00BD014C" w:rsidRDefault="00BD014C" w:rsidP="00BD014C">
                  <w:pPr>
                    <w:spacing w:before="100" w:beforeAutospacing="1"/>
                    <w:jc w:val="center"/>
                  </w:pPr>
                  <w:r>
                    <w:t>25,4</w:t>
                  </w:r>
                </w:p>
              </w:tc>
            </w:tr>
          </w:tbl>
          <w:p w:rsidR="00BD014C" w:rsidRDefault="00BD014C" w:rsidP="00E3198D">
            <w:pPr>
              <w:spacing w:before="60" w:after="60"/>
            </w:pPr>
          </w:p>
        </w:tc>
      </w:tr>
    </w:tbl>
    <w:p w:rsidR="00BD014C" w:rsidRDefault="00BD014C" w:rsidP="00B468EB">
      <w:pPr>
        <w:spacing w:before="60" w:after="60"/>
        <w:jc w:val="both"/>
      </w:pPr>
    </w:p>
    <w:p w:rsidR="00BD014C" w:rsidRPr="00BD014C" w:rsidRDefault="00BD014C" w:rsidP="00B468EB">
      <w:pPr>
        <w:spacing w:before="60" w:after="60"/>
        <w:jc w:val="both"/>
        <w:rPr>
          <w:b/>
        </w:rPr>
      </w:pPr>
      <w:r w:rsidRPr="00BD014C">
        <w:rPr>
          <w:b/>
        </w:rPr>
        <w:t>Aufgabe:</w:t>
      </w:r>
    </w:p>
    <w:p w:rsidR="00BD014C" w:rsidRPr="00BD014C" w:rsidRDefault="00BD014C" w:rsidP="00B468EB">
      <w:pPr>
        <w:spacing w:before="60" w:after="60"/>
        <w:jc w:val="both"/>
      </w:pPr>
      <w:r w:rsidRPr="00BD014C">
        <w:t>Präsentiere deinen Mitschülerinnen und Mitschülern das Untersuchungsergebnis in Form eines Diagramms</w:t>
      </w:r>
      <w:r>
        <w:t xml:space="preserve"> mit geeigneter Achseneinteilung. Kennzeichne auch den </w:t>
      </w:r>
      <w:proofErr w:type="spellStart"/>
      <w:r>
        <w:t>Äquivalenzpunkt</w:t>
      </w:r>
      <w:proofErr w:type="spellEnd"/>
      <w:r>
        <w:t>/Neutralpunkt.</w:t>
      </w:r>
    </w:p>
    <w:p w:rsidR="00066FF2" w:rsidRDefault="00066FF2" w:rsidP="00066FF2">
      <w:pPr>
        <w:spacing w:before="60" w:after="60"/>
        <w:jc w:val="both"/>
      </w:pPr>
    </w:p>
    <w:p w:rsidR="001043C6" w:rsidRDefault="001043C6" w:rsidP="00BF22FF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896DAD" w:rsidRDefault="00896DAD" w:rsidP="00BF22FF">
      <w:pPr>
        <w:spacing w:before="60" w:after="60"/>
        <w:rPr>
          <w:b/>
        </w:rPr>
      </w:pPr>
    </w:p>
    <w:p w:rsidR="00896DAD" w:rsidRDefault="00896DAD" w:rsidP="00BF22FF">
      <w:pPr>
        <w:spacing w:before="60" w:after="60"/>
        <w:rPr>
          <w:b/>
        </w:rPr>
      </w:pPr>
    </w:p>
    <w:p w:rsidR="00896DAD" w:rsidRDefault="00896DAD" w:rsidP="00BF22FF">
      <w:pPr>
        <w:spacing w:before="60" w:after="60"/>
        <w:rPr>
          <w:b/>
        </w:rPr>
      </w:pPr>
    </w:p>
    <w:p w:rsidR="00896DAD" w:rsidRDefault="00896DAD" w:rsidP="00BF22FF">
      <w:pPr>
        <w:spacing w:before="60" w:after="60"/>
        <w:rPr>
          <w:b/>
        </w:rPr>
      </w:pPr>
    </w:p>
    <w:p w:rsidR="006B0B47" w:rsidRPr="008119C5" w:rsidRDefault="006B0B47" w:rsidP="00BF22FF">
      <w:pPr>
        <w:spacing w:before="60" w:after="60"/>
        <w:rPr>
          <w:b/>
        </w:rPr>
      </w:pPr>
    </w:p>
    <w:p w:rsidR="00937B60" w:rsidRDefault="000805FA" w:rsidP="006B0B47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6AA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57A68" w:rsidRDefault="00C57A68" w:rsidP="00BF22FF">
      <w:pPr>
        <w:spacing w:before="60" w:after="60"/>
        <w:rPr>
          <w:b/>
        </w:rPr>
      </w:pPr>
    </w:p>
    <w:p w:rsidR="00C57A68" w:rsidRPr="00BD014C" w:rsidRDefault="00C57A68" w:rsidP="00C57A68">
      <w:pPr>
        <w:spacing w:before="60" w:after="60"/>
        <w:jc w:val="both"/>
      </w:pPr>
      <w:r w:rsidRPr="00BD014C">
        <w:t>Präsentiere deinen Mitschülerinnen und Mitschülern das Untersuchungsergebnis in Form eines Diagramms</w:t>
      </w:r>
      <w:r>
        <w:t xml:space="preserve"> mit geeigneter Achseneinteilung. Kennzeichne auch den </w:t>
      </w:r>
      <w:proofErr w:type="spellStart"/>
      <w:r>
        <w:t>Äquivalenzpunkt</w:t>
      </w:r>
      <w:proofErr w:type="spellEnd"/>
      <w:r>
        <w:t>/Neutralpunkt.</w:t>
      </w:r>
    </w:p>
    <w:p w:rsidR="00C57A68" w:rsidRDefault="00C57A68" w:rsidP="00BF22FF">
      <w:pPr>
        <w:spacing w:before="60" w:after="60"/>
        <w:rPr>
          <w:b/>
        </w:rPr>
      </w:pPr>
    </w:p>
    <w:p w:rsidR="00B468EB" w:rsidRDefault="00B468EB" w:rsidP="00BF22FF">
      <w:pPr>
        <w:spacing w:before="60" w:after="60"/>
        <w:rPr>
          <w:b/>
        </w:rPr>
      </w:pPr>
      <w:r>
        <w:rPr>
          <w:b/>
        </w:rPr>
        <w:t>Zum Beispiel:</w:t>
      </w:r>
    </w:p>
    <w:p w:rsidR="006B0B47" w:rsidRDefault="00B10E24" w:rsidP="00297BFD">
      <w:pPr>
        <w:spacing w:before="60" w:after="60"/>
        <w:jc w:val="both"/>
        <w:rPr>
          <w:b/>
          <w:lang w:val="en-US"/>
        </w:rPr>
      </w:pPr>
      <w:r w:rsidRPr="00B10E2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219.1pt;margin-top:153.45pt;width:99.3pt;height:21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8SgAIAABA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" stroked="f">
            <v:textbox style="mso-fit-shape-to-text:t">
              <w:txbxContent>
                <w:p w:rsidR="00BD014C" w:rsidRDefault="00BD014C">
                  <w:proofErr w:type="spellStart"/>
                  <w:r>
                    <w:t>Äquivalenzpunkt</w:t>
                  </w:r>
                  <w:proofErr w:type="spellEnd"/>
                </w:p>
              </w:txbxContent>
            </v:textbox>
          </v:shape>
        </w:pict>
      </w:r>
      <w:r w:rsidRPr="00B10E24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" o:spid="_x0000_s1028" type="#_x0000_t32" style="position:absolute;left:0;text-align:left;margin-left:195.1pt;margin-top:168.8pt;width:24pt;height:12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T3Pg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">
            <v:stroke endarrow="block"/>
          </v:shape>
        </w:pict>
      </w:r>
      <w:r w:rsidRPr="00B10E24">
        <w:rPr>
          <w:noProof/>
          <w:lang w:eastAsia="de-DE"/>
        </w:rPr>
        <w:pict>
          <v:shape id="AutoShape 46" o:spid="_x0000_s1027" type="#_x0000_t32" style="position:absolute;left:0;text-align:left;margin-left:195.1pt;margin-top:53.45pt;width:2pt;height:12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" strokecolor="red" strokeweight="1.5pt">
            <v:stroke dashstyle="dash"/>
          </v:shape>
        </w:pict>
      </w:r>
      <w:r w:rsidR="000805FA">
        <w:rPr>
          <w:noProof/>
          <w:lang w:eastAsia="de-DE"/>
        </w:rPr>
        <w:drawing>
          <wp:inline distT="0" distB="0" distL="0" distR="0">
            <wp:extent cx="3796030" cy="2998470"/>
            <wp:effectExtent l="0" t="0" r="0" b="0"/>
            <wp:docPr id="4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108" w:rsidRDefault="005F2108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Default="006B0B47" w:rsidP="00297BFD">
      <w:pPr>
        <w:spacing w:before="60" w:after="60"/>
        <w:jc w:val="both"/>
        <w:rPr>
          <w:b/>
          <w:lang w:val="en-US"/>
        </w:rPr>
      </w:pPr>
    </w:p>
    <w:p w:rsidR="006B0B47" w:rsidRPr="006B0B47" w:rsidRDefault="006B0B47" w:rsidP="00297BFD">
      <w:pPr>
        <w:spacing w:before="60" w:after="60"/>
        <w:jc w:val="both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6B0B47">
        <w:rPr>
          <w:lang w:val="en-US"/>
        </w:rPr>
        <w:t>LISUM</w:t>
      </w:r>
    </w:p>
    <w:sectPr w:rsidR="006B0B47" w:rsidRPr="006B0B4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55" w:rsidRDefault="00AF4855" w:rsidP="00837EC7">
      <w:pPr>
        <w:spacing w:line="240" w:lineRule="auto"/>
      </w:pPr>
      <w:r>
        <w:separator/>
      </w:r>
    </w:p>
  </w:endnote>
  <w:endnote w:type="continuationSeparator" w:id="0">
    <w:p w:rsidR="00AF4855" w:rsidRDefault="00AF485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B10E24">
      <w:fldChar w:fldCharType="begin"/>
    </w:r>
    <w:r w:rsidR="00970201">
      <w:instrText xml:space="preserve"> PAGE   \* MERGEFORMAT </w:instrText>
    </w:r>
    <w:r w:rsidR="00B10E24">
      <w:fldChar w:fldCharType="separate"/>
    </w:r>
    <w:r w:rsidR="006B0C38">
      <w:rPr>
        <w:noProof/>
      </w:rPr>
      <w:t>1</w:t>
    </w:r>
    <w:r w:rsidR="00B10E24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B10E24">
      <w:fldChar w:fldCharType="begin"/>
    </w:r>
    <w:r w:rsidR="00970201">
      <w:instrText xml:space="preserve"> PAGE   \* MERGEFORMAT </w:instrText>
    </w:r>
    <w:r w:rsidR="00B10E24">
      <w:fldChar w:fldCharType="separate"/>
    </w:r>
    <w:r w:rsidR="006B0C38">
      <w:rPr>
        <w:noProof/>
      </w:rPr>
      <w:t>2</w:t>
    </w:r>
    <w:r w:rsidR="00B10E24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55" w:rsidRDefault="00AF4855" w:rsidP="00837EC7">
      <w:pPr>
        <w:spacing w:line="240" w:lineRule="auto"/>
      </w:pPr>
      <w:r>
        <w:separator/>
      </w:r>
    </w:p>
  </w:footnote>
  <w:footnote w:type="continuationSeparator" w:id="0">
    <w:p w:rsidR="00AF4855" w:rsidRDefault="00AF4855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C663F"/>
    <w:multiLevelType w:val="hybridMultilevel"/>
    <w:tmpl w:val="99969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77BF"/>
    <w:multiLevelType w:val="hybridMultilevel"/>
    <w:tmpl w:val="37A2B63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BE2542"/>
    <w:multiLevelType w:val="hybridMultilevel"/>
    <w:tmpl w:val="6A466188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66FF2"/>
    <w:rsid w:val="000805FA"/>
    <w:rsid w:val="000A2A61"/>
    <w:rsid w:val="000A4B8B"/>
    <w:rsid w:val="000B7C08"/>
    <w:rsid w:val="000E0ED8"/>
    <w:rsid w:val="001043C6"/>
    <w:rsid w:val="00133562"/>
    <w:rsid w:val="0013449C"/>
    <w:rsid w:val="00136172"/>
    <w:rsid w:val="00142DFA"/>
    <w:rsid w:val="00155F4E"/>
    <w:rsid w:val="001634E6"/>
    <w:rsid w:val="00163D87"/>
    <w:rsid w:val="00185133"/>
    <w:rsid w:val="001A71B9"/>
    <w:rsid w:val="001B043E"/>
    <w:rsid w:val="001C2CAB"/>
    <w:rsid w:val="001C3197"/>
    <w:rsid w:val="001F319E"/>
    <w:rsid w:val="00202F49"/>
    <w:rsid w:val="00206E1F"/>
    <w:rsid w:val="00213EFF"/>
    <w:rsid w:val="002348B8"/>
    <w:rsid w:val="002865BC"/>
    <w:rsid w:val="00297BFD"/>
    <w:rsid w:val="002A04B8"/>
    <w:rsid w:val="002A1D9E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5722B"/>
    <w:rsid w:val="00362561"/>
    <w:rsid w:val="00363539"/>
    <w:rsid w:val="003744AD"/>
    <w:rsid w:val="00381AB2"/>
    <w:rsid w:val="003A1786"/>
    <w:rsid w:val="003F4234"/>
    <w:rsid w:val="0040115E"/>
    <w:rsid w:val="004072A0"/>
    <w:rsid w:val="00411347"/>
    <w:rsid w:val="004318F5"/>
    <w:rsid w:val="00445672"/>
    <w:rsid w:val="00467ABE"/>
    <w:rsid w:val="004728C8"/>
    <w:rsid w:val="004801AA"/>
    <w:rsid w:val="004851BE"/>
    <w:rsid w:val="0049671A"/>
    <w:rsid w:val="00496D76"/>
    <w:rsid w:val="004C485B"/>
    <w:rsid w:val="004C5D31"/>
    <w:rsid w:val="004E4EFC"/>
    <w:rsid w:val="004F3656"/>
    <w:rsid w:val="005052CB"/>
    <w:rsid w:val="00537A2A"/>
    <w:rsid w:val="005422D8"/>
    <w:rsid w:val="005960DF"/>
    <w:rsid w:val="005C16CC"/>
    <w:rsid w:val="005D03D5"/>
    <w:rsid w:val="005F1ACA"/>
    <w:rsid w:val="005F2108"/>
    <w:rsid w:val="00677337"/>
    <w:rsid w:val="006A22F8"/>
    <w:rsid w:val="006A599E"/>
    <w:rsid w:val="006B0B47"/>
    <w:rsid w:val="006B0C38"/>
    <w:rsid w:val="006B37E6"/>
    <w:rsid w:val="006C713F"/>
    <w:rsid w:val="006D06AA"/>
    <w:rsid w:val="006D084A"/>
    <w:rsid w:val="006D5EEA"/>
    <w:rsid w:val="006D719E"/>
    <w:rsid w:val="007024FB"/>
    <w:rsid w:val="007357B6"/>
    <w:rsid w:val="00755E7C"/>
    <w:rsid w:val="007621DD"/>
    <w:rsid w:val="00771C9C"/>
    <w:rsid w:val="007C1D1C"/>
    <w:rsid w:val="007C32D6"/>
    <w:rsid w:val="007C3E2C"/>
    <w:rsid w:val="007C3F74"/>
    <w:rsid w:val="007D6BA1"/>
    <w:rsid w:val="00800BD6"/>
    <w:rsid w:val="008109AD"/>
    <w:rsid w:val="008119C5"/>
    <w:rsid w:val="00820851"/>
    <w:rsid w:val="00825908"/>
    <w:rsid w:val="00826C8F"/>
    <w:rsid w:val="0083079B"/>
    <w:rsid w:val="00837EC7"/>
    <w:rsid w:val="00850B93"/>
    <w:rsid w:val="00896DAD"/>
    <w:rsid w:val="008A1768"/>
    <w:rsid w:val="008B1D49"/>
    <w:rsid w:val="008B6E6E"/>
    <w:rsid w:val="008E2ED1"/>
    <w:rsid w:val="008E7D45"/>
    <w:rsid w:val="008F78E6"/>
    <w:rsid w:val="00937B60"/>
    <w:rsid w:val="0095558E"/>
    <w:rsid w:val="00970201"/>
    <w:rsid w:val="00971722"/>
    <w:rsid w:val="00991051"/>
    <w:rsid w:val="009924B0"/>
    <w:rsid w:val="00992E51"/>
    <w:rsid w:val="009A1D85"/>
    <w:rsid w:val="009F42E4"/>
    <w:rsid w:val="00A20523"/>
    <w:rsid w:val="00A32FBC"/>
    <w:rsid w:val="00A366CC"/>
    <w:rsid w:val="00A56297"/>
    <w:rsid w:val="00A57E9B"/>
    <w:rsid w:val="00A804F8"/>
    <w:rsid w:val="00A828A1"/>
    <w:rsid w:val="00A973E5"/>
    <w:rsid w:val="00AB509B"/>
    <w:rsid w:val="00AC0304"/>
    <w:rsid w:val="00AD39E6"/>
    <w:rsid w:val="00AE2D84"/>
    <w:rsid w:val="00AE3A55"/>
    <w:rsid w:val="00AF4855"/>
    <w:rsid w:val="00B02C2B"/>
    <w:rsid w:val="00B10E24"/>
    <w:rsid w:val="00B468EB"/>
    <w:rsid w:val="00B542E5"/>
    <w:rsid w:val="00B928AD"/>
    <w:rsid w:val="00B94BD8"/>
    <w:rsid w:val="00BC0122"/>
    <w:rsid w:val="00BC763D"/>
    <w:rsid w:val="00BD014C"/>
    <w:rsid w:val="00BD0F95"/>
    <w:rsid w:val="00BD50AC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7A68"/>
    <w:rsid w:val="00C6552D"/>
    <w:rsid w:val="00CA26AC"/>
    <w:rsid w:val="00CA4CF0"/>
    <w:rsid w:val="00CB3549"/>
    <w:rsid w:val="00D0707C"/>
    <w:rsid w:val="00D226DE"/>
    <w:rsid w:val="00D2633E"/>
    <w:rsid w:val="00D270BC"/>
    <w:rsid w:val="00D37795"/>
    <w:rsid w:val="00D41BE0"/>
    <w:rsid w:val="00D84046"/>
    <w:rsid w:val="00DC762A"/>
    <w:rsid w:val="00DD0C30"/>
    <w:rsid w:val="00DD0D1D"/>
    <w:rsid w:val="00DE1320"/>
    <w:rsid w:val="00DF308F"/>
    <w:rsid w:val="00E03BDC"/>
    <w:rsid w:val="00E16A0E"/>
    <w:rsid w:val="00E16B27"/>
    <w:rsid w:val="00E363A5"/>
    <w:rsid w:val="00E51858"/>
    <w:rsid w:val="00E579BF"/>
    <w:rsid w:val="00E72519"/>
    <w:rsid w:val="00E84ADD"/>
    <w:rsid w:val="00E85DB9"/>
    <w:rsid w:val="00E86529"/>
    <w:rsid w:val="00EA4734"/>
    <w:rsid w:val="00EA5291"/>
    <w:rsid w:val="00EB070D"/>
    <w:rsid w:val="00EB7A2F"/>
    <w:rsid w:val="00EC1F75"/>
    <w:rsid w:val="00EC51CF"/>
    <w:rsid w:val="00EC68C4"/>
    <w:rsid w:val="00ED0EC3"/>
    <w:rsid w:val="00F17F92"/>
    <w:rsid w:val="00F2257F"/>
    <w:rsid w:val="00F372D1"/>
    <w:rsid w:val="00F5187C"/>
    <w:rsid w:val="00F6694A"/>
    <w:rsid w:val="00F83C19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48"/>
        <o:r id="V:Rule4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styleId="HellesRaster">
    <w:name w:val="Light Grid"/>
    <w:basedOn w:val="NormaleTabelle"/>
    <w:uiPriority w:val="62"/>
    <w:rsid w:val="00BD014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styleId="HellesRaster">
    <w:name w:val="Light Grid"/>
    <w:basedOn w:val="NormaleTabelle"/>
    <w:uiPriority w:val="62"/>
    <w:rsid w:val="00BD01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n in °C</c:v>
                </c:pt>
              </c:strCache>
            </c:strRef>
          </c:tx>
          <c:marker>
            <c:symbol val="none"/>
          </c:marker>
          <c:cat>
            <c:numRef>
              <c:f>Tabelle1!$A$2:$A$17</c:f>
              <c:numCache>
                <c:formatCode>General</c:formatCode>
                <c:ptCount val="1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</c:numCache>
            </c:numRef>
          </c:cat>
          <c:val>
            <c:numRef>
              <c:f>Tabelle1!$B$2:$B$17</c:f>
              <c:numCache>
                <c:formatCode>General</c:formatCode>
                <c:ptCount val="16"/>
                <c:pt idx="0">
                  <c:v>20.5</c:v>
                </c:pt>
                <c:pt idx="1">
                  <c:v>21.6</c:v>
                </c:pt>
                <c:pt idx="2">
                  <c:v>22.7</c:v>
                </c:pt>
                <c:pt idx="3">
                  <c:v>23.4</c:v>
                </c:pt>
                <c:pt idx="4">
                  <c:v>24.2</c:v>
                </c:pt>
                <c:pt idx="5">
                  <c:v>24.7</c:v>
                </c:pt>
                <c:pt idx="6">
                  <c:v>25.2</c:v>
                </c:pt>
                <c:pt idx="7">
                  <c:v>25.8</c:v>
                </c:pt>
                <c:pt idx="8">
                  <c:v>26.2</c:v>
                </c:pt>
                <c:pt idx="9">
                  <c:v>26.4</c:v>
                </c:pt>
                <c:pt idx="10">
                  <c:v>26.7</c:v>
                </c:pt>
                <c:pt idx="11">
                  <c:v>26.3</c:v>
                </c:pt>
                <c:pt idx="12">
                  <c:v>26.1</c:v>
                </c:pt>
                <c:pt idx="13">
                  <c:v>25.8</c:v>
                </c:pt>
                <c:pt idx="14">
                  <c:v>25.6</c:v>
                </c:pt>
                <c:pt idx="15">
                  <c:v>25.4</c:v>
                </c:pt>
              </c:numCache>
            </c:numRef>
          </c:val>
        </c:ser>
        <c:marker val="1"/>
        <c:axId val="59731328"/>
        <c:axId val="59827712"/>
      </c:lineChart>
      <c:catAx>
        <c:axId val="59731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V(HCl) in ml</a:t>
                </a:r>
              </a:p>
            </c:rich>
          </c:tx>
        </c:title>
        <c:numFmt formatCode="General" sourceLinked="1"/>
        <c:majorTickMark val="none"/>
        <c:tickLblPos val="nextTo"/>
        <c:crossAx val="59827712"/>
        <c:crosses val="autoZero"/>
        <c:lblAlgn val="ctr"/>
        <c:lblOffset val="100"/>
      </c:catAx>
      <c:valAx>
        <c:axId val="59827712"/>
        <c:scaling>
          <c:orientation val="minMax"/>
          <c:max val="28"/>
          <c:min val="2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 in °C</a:t>
                </a:r>
              </a:p>
            </c:rich>
          </c:tx>
        </c:title>
        <c:numFmt formatCode="General" sourceLinked="1"/>
        <c:majorTickMark val="none"/>
        <c:tickLblPos val="nextTo"/>
        <c:crossAx val="59731328"/>
        <c:crosses val="autoZero"/>
        <c:crossBetween val="midCat"/>
      </c:valAx>
      <c:spPr>
        <a:solidFill>
          <a:sysClr val="window" lastClr="FFFFFF"/>
        </a:solidFill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2015-12-15T09:24:00Z</dcterms:created>
  <dcterms:modified xsi:type="dcterms:W3CDTF">2015-12-15T09:24:00Z</dcterms:modified>
</cp:coreProperties>
</file>