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D06AA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321743">
            <w:pPr>
              <w:spacing w:before="200" w:after="200"/>
            </w:pPr>
            <w:r>
              <w:t>Kommunikation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9924B0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EE72B2">
            <w:pPr>
              <w:tabs>
                <w:tab w:val="left" w:pos="1373"/>
              </w:tabs>
              <w:spacing w:before="200" w:after="200"/>
            </w:pPr>
            <w:r>
              <w:t xml:space="preserve">Informationen weitergeben – Textproduktion </w:t>
            </w:r>
            <w:r w:rsidR="00EE72B2">
              <w:t>Texte zu Sachve</w:t>
            </w:r>
            <w:r w:rsidR="00EE72B2">
              <w:t>r</w:t>
            </w:r>
            <w:r w:rsidR="00EE72B2">
              <w:t>halten produzieren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E72B2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924B0" w:rsidP="00EE72B2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EE72B2">
              <w:t xml:space="preserve">naturwissenschaftliche Sachverhalte </w:t>
            </w:r>
            <w:proofErr w:type="spellStart"/>
            <w:r w:rsidR="00EE72B2">
              <w:t>adressaten</w:t>
            </w:r>
            <w:proofErr w:type="spellEnd"/>
            <w:r w:rsidR="00EE72B2">
              <w:t>- und sachgerecht in verschiedenen Darstellungsformen erklären.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B7C08" w:rsidP="006F6933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</w:t>
            </w:r>
            <w:r w:rsidR="006F6933">
              <w:t>–</w:t>
            </w:r>
            <w:r>
              <w:t xml:space="preserve"> </w:t>
            </w:r>
            <w:r w:rsidR="006F6933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F6933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F6933" w:rsidP="006F693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Texte in Abschnitte gli</w:t>
            </w:r>
            <w:r w:rsidRPr="007D509D">
              <w:t>e</w:t>
            </w:r>
            <w:r w:rsidRPr="007D509D">
              <w:t>dern und dabei strukturierende Textbausteine verwenden (z. B. daraus folgt, es ist anzunehmen, zu beweisen ist)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F693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F693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F6933">
              <w:rPr>
                <w:b/>
              </w:rPr>
              <w:t>:</w:t>
            </w:r>
            <w:r w:rsidR="00E30B9C">
              <w:rPr>
                <w:b/>
              </w:rPr>
              <w:t xml:space="preserve">  </w:t>
            </w:r>
            <w:r w:rsidR="000B7C08">
              <w:rPr>
                <w:b/>
              </w:rPr>
              <w:t>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F693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E72B2" w:rsidP="00321743">
            <w:pPr>
              <w:spacing w:before="200" w:after="200"/>
            </w:pPr>
            <w:r>
              <w:t>Titration, Interpretieren, Diagramm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66FF2" w:rsidRDefault="00066FF2" w:rsidP="00BF22FF">
      <w:pPr>
        <w:spacing w:before="60" w:after="60"/>
        <w:rPr>
          <w:b/>
          <w:sz w:val="24"/>
          <w:szCs w:val="24"/>
        </w:rPr>
      </w:pPr>
    </w:p>
    <w:p w:rsidR="00066FF2" w:rsidRPr="00F5187C" w:rsidRDefault="00066FF2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Messdaten auswerten</w:t>
      </w:r>
    </w:p>
    <w:p w:rsidR="00066FF2" w:rsidRDefault="00066FF2" w:rsidP="00066FF2">
      <w:pPr>
        <w:spacing w:before="60" w:after="60"/>
        <w:jc w:val="both"/>
      </w:pPr>
      <w:r w:rsidRPr="00066FF2">
        <w:t>Bei der Reaktion von Salzsäure mit Natronlauge findet eine Neutralisation statt.</w:t>
      </w:r>
      <w:r>
        <w:t xml:space="preserve"> Dabei wird Wärme frei. Die Temperatur des Reaktionsgemisches wurde jeweils nach Zugabe von 5 ml Salzsäure in Natronlauge gemessen. Anschließend wurden die </w:t>
      </w:r>
      <w:proofErr w:type="spellStart"/>
      <w:r>
        <w:t>Messergebnisse</w:t>
      </w:r>
      <w:proofErr w:type="spellEnd"/>
      <w:r>
        <w:t xml:space="preserve"> grafisch dargestellt.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227"/>
        <w:gridCol w:w="6059"/>
      </w:tblGrid>
      <w:tr w:rsidR="00066FF2" w:rsidTr="009574BF">
        <w:trPr>
          <w:trHeight w:val="4545"/>
        </w:trPr>
        <w:tc>
          <w:tcPr>
            <w:tcW w:w="3227" w:type="dxa"/>
          </w:tcPr>
          <w:p w:rsidR="00B57AA2" w:rsidRDefault="00153E53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40640</wp:posOffset>
                  </wp:positionV>
                  <wp:extent cx="1143000" cy="2624455"/>
                  <wp:effectExtent l="0" t="0" r="0" b="4445"/>
                  <wp:wrapSquare wrapText="bothSides"/>
                  <wp:docPr id="10" name="Bild 5" descr="SAM_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619" t="19681" r="3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066FF2" w:rsidRPr="00B57AA2" w:rsidRDefault="00D24438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44.75pt;margin-top:3.45pt;width:40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t9OQIAAGY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">
                  <v:stroke endarrow="block"/>
                </v:shape>
              </w:pict>
            </w:r>
            <w:r w:rsidR="00B57AA2" w:rsidRPr="00B57AA2">
              <w:rPr>
                <w:sz w:val="16"/>
                <w:szCs w:val="16"/>
              </w:rPr>
              <w:t>Bürette</w:t>
            </w:r>
          </w:p>
          <w:p w:rsidR="00B57AA2" w:rsidRPr="00B57AA2" w:rsidRDefault="00D24438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AutoShape 7" o:spid="_x0000_s1030" type="#_x0000_t32" style="position:absolute;margin-left:-71.4pt;margin-top:3.2pt;width:70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TsOQIAAGY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">
                  <v:stroke endarrow="block"/>
                </v:shape>
              </w:pict>
            </w:r>
            <w:r w:rsidR="00B57AA2" w:rsidRPr="00B57AA2">
              <w:rPr>
                <w:sz w:val="16"/>
                <w:szCs w:val="16"/>
              </w:rPr>
              <w:t>Thermometer</w:t>
            </w:r>
          </w:p>
          <w:p w:rsidR="00B57AA2" w:rsidRPr="00B57AA2" w:rsidRDefault="00D24438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AutoShape 8" o:spid="_x0000_s1029" type="#_x0000_t32" style="position:absolute;margin-left:-48.75pt;margin-top:3.65pt;width:47.3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m4OgIAAGY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">
                  <v:stroke endarrow="block"/>
                </v:shape>
              </w:pict>
            </w:r>
            <w:r w:rsidR="00B57AA2" w:rsidRPr="00B57AA2">
              <w:rPr>
                <w:sz w:val="16"/>
                <w:szCs w:val="16"/>
              </w:rPr>
              <w:t>Salzsäure</w:t>
            </w:r>
          </w:p>
          <w:p w:rsidR="00B57AA2" w:rsidRP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P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P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Pr="00B57AA2" w:rsidRDefault="00D24438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AutoShape 9" o:spid="_x0000_s1028" type="#_x0000_t32" style="position:absolute;margin-left:-38.1pt;margin-top:4.15pt;width:36.7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VxOQ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">
                  <v:stroke endarrow="block"/>
                </v:shape>
              </w:pict>
            </w:r>
            <w:r w:rsidR="00B57AA2" w:rsidRPr="00B57AA2">
              <w:rPr>
                <w:sz w:val="16"/>
                <w:szCs w:val="16"/>
              </w:rPr>
              <w:t>Erlenmeyer</w:t>
            </w:r>
            <w:r w:rsidR="00B57AA2">
              <w:rPr>
                <w:sz w:val="16"/>
                <w:szCs w:val="16"/>
              </w:rPr>
              <w:t>-</w:t>
            </w:r>
            <w:proofErr w:type="spellStart"/>
            <w:r w:rsidR="00B57AA2" w:rsidRPr="00B57AA2">
              <w:rPr>
                <w:sz w:val="16"/>
                <w:szCs w:val="16"/>
              </w:rPr>
              <w:t>kolben</w:t>
            </w:r>
            <w:proofErr w:type="spellEnd"/>
          </w:p>
          <w:p w:rsid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Default="00B57AA2" w:rsidP="0083079B">
            <w:pPr>
              <w:spacing w:before="60" w:after="60"/>
              <w:rPr>
                <w:sz w:val="16"/>
                <w:szCs w:val="16"/>
              </w:rPr>
            </w:pPr>
          </w:p>
          <w:p w:rsidR="00B57AA2" w:rsidRDefault="00D24438" w:rsidP="0083079B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AutoShape 10" o:spid="_x0000_s1027" type="#_x0000_t32" style="position:absolute;margin-left:-29.4pt;margin-top:4.15pt;width:28pt;height:.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">
                  <v:stroke endarrow="block"/>
                </v:shape>
              </w:pict>
            </w:r>
            <w:r w:rsidR="00B57AA2" w:rsidRPr="00B57AA2">
              <w:rPr>
                <w:sz w:val="16"/>
                <w:szCs w:val="16"/>
              </w:rPr>
              <w:t>Natronlauge</w:t>
            </w:r>
          </w:p>
          <w:p w:rsidR="00EE72B2" w:rsidRDefault="00EE72B2" w:rsidP="0083079B">
            <w:pPr>
              <w:spacing w:before="60" w:after="60"/>
              <w:rPr>
                <w:sz w:val="16"/>
                <w:szCs w:val="16"/>
              </w:rPr>
            </w:pPr>
          </w:p>
          <w:p w:rsidR="00EE72B2" w:rsidRDefault="00EE72B2" w:rsidP="0083079B">
            <w:pPr>
              <w:spacing w:before="60" w:after="60"/>
            </w:pPr>
            <w:r>
              <w:rPr>
                <w:sz w:val="16"/>
                <w:szCs w:val="16"/>
              </w:rPr>
              <w:t>Bild: K. Fritsch (LISUM)</w:t>
            </w:r>
          </w:p>
        </w:tc>
        <w:tc>
          <w:tcPr>
            <w:tcW w:w="6059" w:type="dxa"/>
          </w:tcPr>
          <w:p w:rsidR="00066FF2" w:rsidRDefault="00153E53" w:rsidP="0083079B">
            <w:pPr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721100" cy="29241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933" w:rsidRDefault="006F6933" w:rsidP="00BF22FF">
      <w:pPr>
        <w:spacing w:before="60" w:after="60"/>
        <w:rPr>
          <w:b/>
        </w:rPr>
      </w:pPr>
    </w:p>
    <w:p w:rsidR="00066FF2" w:rsidRPr="009574BF" w:rsidRDefault="009574BF" w:rsidP="00BF22FF">
      <w:pPr>
        <w:spacing w:before="60" w:after="60"/>
        <w:rPr>
          <w:b/>
        </w:rPr>
      </w:pPr>
      <w:r w:rsidRPr="009574BF">
        <w:rPr>
          <w:b/>
        </w:rPr>
        <w:t>Aufgabe:</w:t>
      </w:r>
    </w:p>
    <w:p w:rsidR="006D084A" w:rsidRPr="006D06AA" w:rsidRDefault="006D06AA" w:rsidP="00BF22FF">
      <w:pPr>
        <w:spacing w:before="60" w:after="60"/>
      </w:pPr>
      <w:r w:rsidRPr="006D06AA">
        <w:t>Interpretiere die grafische Darstellung</w:t>
      </w:r>
      <w:r>
        <w:t>.</w:t>
      </w:r>
      <w:r w:rsidR="00781FF5">
        <w:t xml:space="preserve"> Leite daraus den </w:t>
      </w:r>
      <w:proofErr w:type="spellStart"/>
      <w:r w:rsidR="00781FF5">
        <w:t>Äquivalenzpunkt</w:t>
      </w:r>
      <w:proofErr w:type="spellEnd"/>
      <w:r w:rsidR="00781FF5">
        <w:t xml:space="preserve"> dieser Säure-Base-Titration ab. </w:t>
      </w:r>
    </w:p>
    <w:p w:rsidR="006D084A" w:rsidRDefault="006D084A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AA755A" w:rsidRDefault="00AA755A" w:rsidP="00BF22FF">
      <w:pPr>
        <w:spacing w:before="60" w:after="60"/>
        <w:rPr>
          <w:b/>
        </w:rPr>
      </w:pPr>
    </w:p>
    <w:p w:rsidR="00EE72B2" w:rsidRDefault="00EE72B2" w:rsidP="00BF22FF">
      <w:pPr>
        <w:spacing w:before="60" w:after="60"/>
        <w:rPr>
          <w:b/>
        </w:rPr>
      </w:pPr>
    </w:p>
    <w:p w:rsidR="00EE72B2" w:rsidRPr="008119C5" w:rsidRDefault="00EE72B2" w:rsidP="00BF22FF">
      <w:pPr>
        <w:spacing w:before="60" w:after="60"/>
        <w:rPr>
          <w:b/>
        </w:rPr>
      </w:pPr>
    </w:p>
    <w:p w:rsidR="00F5187C" w:rsidRPr="008A1768" w:rsidRDefault="00153E53" w:rsidP="004F3656"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6AA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AA755A" w:rsidRDefault="00AA755A" w:rsidP="00BF22FF">
      <w:pPr>
        <w:spacing w:before="60" w:after="60"/>
        <w:rPr>
          <w:b/>
        </w:rPr>
      </w:pPr>
    </w:p>
    <w:p w:rsidR="00567294" w:rsidRPr="006D06AA" w:rsidRDefault="006D06AA" w:rsidP="00567294">
      <w:pPr>
        <w:spacing w:before="60" w:after="60"/>
      </w:pPr>
      <w:r w:rsidRPr="006D06AA">
        <w:t>Interpretiere die grafische Darstellung</w:t>
      </w:r>
      <w:r>
        <w:t>.</w:t>
      </w:r>
      <w:r w:rsidR="00781FF5">
        <w:t xml:space="preserve"> </w:t>
      </w:r>
      <w:r w:rsidR="00567294">
        <w:t xml:space="preserve">Leite daraus den </w:t>
      </w:r>
      <w:proofErr w:type="spellStart"/>
      <w:r w:rsidR="00567294">
        <w:t>Äquivalenzpunkt</w:t>
      </w:r>
      <w:proofErr w:type="spellEnd"/>
      <w:r w:rsidR="00567294">
        <w:t xml:space="preserve"> dieser Säure-Base-Titration ab. </w:t>
      </w:r>
    </w:p>
    <w:p w:rsidR="006D06AA" w:rsidRPr="006D06AA" w:rsidRDefault="006D06AA" w:rsidP="006D06AA">
      <w:pPr>
        <w:spacing w:before="60" w:after="60"/>
      </w:pPr>
    </w:p>
    <w:p w:rsidR="00C16860" w:rsidRPr="008119C5" w:rsidRDefault="00153E53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3796030" cy="2998470"/>
            <wp:effectExtent l="0" t="0" r="0" b="0"/>
            <wp:docPr id="4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22D8" w:rsidRDefault="000D2C17" w:rsidP="005422D8">
      <w:pPr>
        <w:spacing w:line="240" w:lineRule="auto"/>
        <w:jc w:val="both"/>
      </w:pPr>
      <w:r>
        <w:t>Bis zu einer Säurezugabe von 50 ml erhöht sich die Temperatur.</w:t>
      </w:r>
      <w:r w:rsidR="00781FF5">
        <w:t xml:space="preserve"> Daraus kann man schli</w:t>
      </w:r>
      <w:r w:rsidR="00781FF5">
        <w:t>e</w:t>
      </w:r>
      <w:r w:rsidR="00781FF5">
        <w:t>ßen, dass die Neutralisationsreaktion exotherm verläuft. Das Absinken der Temperatur zeigt an, dass n</w:t>
      </w:r>
      <w:r w:rsidR="006D06AA">
        <w:t>ach Zugabe von 50 ml Salzsäure-Lösung die Neutralisation abgeschlossen ist, d.</w:t>
      </w:r>
      <w:r w:rsidR="00015175">
        <w:t> </w:t>
      </w:r>
      <w:r w:rsidR="006D06AA">
        <w:t xml:space="preserve">h. der </w:t>
      </w:r>
      <w:proofErr w:type="spellStart"/>
      <w:r w:rsidR="006D06AA">
        <w:t>Äquivalenzpunkt</w:t>
      </w:r>
      <w:proofErr w:type="spellEnd"/>
      <w:r w:rsidR="006D06AA">
        <w:t xml:space="preserve"> erreicht wurde.</w:t>
      </w:r>
      <w:r w:rsidR="00781FF5">
        <w:t xml:space="preserve"> </w:t>
      </w: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AA755A" w:rsidRDefault="00AA755A" w:rsidP="005422D8">
      <w:pPr>
        <w:spacing w:line="240" w:lineRule="auto"/>
        <w:jc w:val="both"/>
      </w:pPr>
    </w:p>
    <w:p w:rsidR="00B94BD8" w:rsidRDefault="00AA755A" w:rsidP="005422D8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B6" w:rsidRDefault="008409B6" w:rsidP="00837EC7">
      <w:pPr>
        <w:spacing w:line="240" w:lineRule="auto"/>
      </w:pPr>
      <w:r>
        <w:separator/>
      </w:r>
    </w:p>
  </w:endnote>
  <w:endnote w:type="continuationSeparator" w:id="0">
    <w:p w:rsidR="008409B6" w:rsidRDefault="008409B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24438">
      <w:fldChar w:fldCharType="begin"/>
    </w:r>
    <w:r w:rsidR="008E34F2">
      <w:instrText xml:space="preserve"> PAGE   \* MERGEFORMAT </w:instrText>
    </w:r>
    <w:r w:rsidR="00D24438">
      <w:fldChar w:fldCharType="separate"/>
    </w:r>
    <w:r w:rsidR="005F3EC3">
      <w:rPr>
        <w:noProof/>
      </w:rPr>
      <w:t>1</w:t>
    </w:r>
    <w:r w:rsidR="00D24438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24438">
      <w:fldChar w:fldCharType="begin"/>
    </w:r>
    <w:r w:rsidR="008E34F2">
      <w:instrText xml:space="preserve"> PAGE   \* MERGEFORMAT </w:instrText>
    </w:r>
    <w:r w:rsidR="00D24438">
      <w:fldChar w:fldCharType="separate"/>
    </w:r>
    <w:r w:rsidR="005F3EC3">
      <w:rPr>
        <w:noProof/>
      </w:rPr>
      <w:t>2</w:t>
    </w:r>
    <w:r w:rsidR="00D2443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B6" w:rsidRDefault="008409B6" w:rsidP="00837EC7">
      <w:pPr>
        <w:spacing w:line="240" w:lineRule="auto"/>
      </w:pPr>
      <w:r>
        <w:separator/>
      </w:r>
    </w:p>
  </w:footnote>
  <w:footnote w:type="continuationSeparator" w:id="0">
    <w:p w:rsidR="008409B6" w:rsidRDefault="008409B6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5175"/>
    <w:rsid w:val="0004165F"/>
    <w:rsid w:val="00066FF2"/>
    <w:rsid w:val="000A2A61"/>
    <w:rsid w:val="000A4B8B"/>
    <w:rsid w:val="000B7C08"/>
    <w:rsid w:val="000D2C17"/>
    <w:rsid w:val="0010652F"/>
    <w:rsid w:val="00133562"/>
    <w:rsid w:val="00136172"/>
    <w:rsid w:val="00142DFA"/>
    <w:rsid w:val="00153E53"/>
    <w:rsid w:val="00155F4E"/>
    <w:rsid w:val="001634E6"/>
    <w:rsid w:val="00163D87"/>
    <w:rsid w:val="00166878"/>
    <w:rsid w:val="00171776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1D9E"/>
    <w:rsid w:val="002A2294"/>
    <w:rsid w:val="002B14FC"/>
    <w:rsid w:val="002B618E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67ABE"/>
    <w:rsid w:val="004728C8"/>
    <w:rsid w:val="004851BE"/>
    <w:rsid w:val="0049671A"/>
    <w:rsid w:val="00496D76"/>
    <w:rsid w:val="004C485B"/>
    <w:rsid w:val="004C5D31"/>
    <w:rsid w:val="004F3656"/>
    <w:rsid w:val="005052CB"/>
    <w:rsid w:val="00537A2A"/>
    <w:rsid w:val="005422D8"/>
    <w:rsid w:val="00567294"/>
    <w:rsid w:val="005960DF"/>
    <w:rsid w:val="005C16CC"/>
    <w:rsid w:val="005D03D5"/>
    <w:rsid w:val="005F1ACA"/>
    <w:rsid w:val="005F3EC3"/>
    <w:rsid w:val="00677337"/>
    <w:rsid w:val="006A22F8"/>
    <w:rsid w:val="006A599E"/>
    <w:rsid w:val="006C713F"/>
    <w:rsid w:val="006D06AA"/>
    <w:rsid w:val="006D084A"/>
    <w:rsid w:val="006D5EEA"/>
    <w:rsid w:val="006D719E"/>
    <w:rsid w:val="006F6933"/>
    <w:rsid w:val="007024FB"/>
    <w:rsid w:val="007357B6"/>
    <w:rsid w:val="007621DD"/>
    <w:rsid w:val="00771C9C"/>
    <w:rsid w:val="00781FF5"/>
    <w:rsid w:val="007A7F8E"/>
    <w:rsid w:val="007B7394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27701"/>
    <w:rsid w:val="0083079B"/>
    <w:rsid w:val="00837EC7"/>
    <w:rsid w:val="008409B6"/>
    <w:rsid w:val="00850B93"/>
    <w:rsid w:val="008565AB"/>
    <w:rsid w:val="008A1768"/>
    <w:rsid w:val="008B1D49"/>
    <w:rsid w:val="008B6E6E"/>
    <w:rsid w:val="008C61D0"/>
    <w:rsid w:val="008E2ED1"/>
    <w:rsid w:val="008E34F2"/>
    <w:rsid w:val="008E7D45"/>
    <w:rsid w:val="008F78E6"/>
    <w:rsid w:val="00937B60"/>
    <w:rsid w:val="0095558E"/>
    <w:rsid w:val="009574BF"/>
    <w:rsid w:val="009677B6"/>
    <w:rsid w:val="00971722"/>
    <w:rsid w:val="009924B0"/>
    <w:rsid w:val="009A1D85"/>
    <w:rsid w:val="009F42E4"/>
    <w:rsid w:val="00A20523"/>
    <w:rsid w:val="00A366CC"/>
    <w:rsid w:val="00A57E9B"/>
    <w:rsid w:val="00A74BFB"/>
    <w:rsid w:val="00A804F8"/>
    <w:rsid w:val="00A828A1"/>
    <w:rsid w:val="00A973E5"/>
    <w:rsid w:val="00AA755A"/>
    <w:rsid w:val="00AB509B"/>
    <w:rsid w:val="00AD39E6"/>
    <w:rsid w:val="00AE2D84"/>
    <w:rsid w:val="00AE3A55"/>
    <w:rsid w:val="00B542E5"/>
    <w:rsid w:val="00B57AA2"/>
    <w:rsid w:val="00B928AD"/>
    <w:rsid w:val="00B94BD8"/>
    <w:rsid w:val="00BC0122"/>
    <w:rsid w:val="00BC763D"/>
    <w:rsid w:val="00BD0F95"/>
    <w:rsid w:val="00BD7E76"/>
    <w:rsid w:val="00BE5D62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4CF0"/>
    <w:rsid w:val="00CB3549"/>
    <w:rsid w:val="00D0707C"/>
    <w:rsid w:val="00D226DE"/>
    <w:rsid w:val="00D24438"/>
    <w:rsid w:val="00D270BC"/>
    <w:rsid w:val="00D41BE0"/>
    <w:rsid w:val="00DB1A96"/>
    <w:rsid w:val="00DC762A"/>
    <w:rsid w:val="00DD0C30"/>
    <w:rsid w:val="00DF308F"/>
    <w:rsid w:val="00E14D35"/>
    <w:rsid w:val="00E16A0E"/>
    <w:rsid w:val="00E16B27"/>
    <w:rsid w:val="00E30B9C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72B2"/>
    <w:rsid w:val="00F17F92"/>
    <w:rsid w:val="00F2257F"/>
    <w:rsid w:val="00F372D1"/>
    <w:rsid w:val="00F37858"/>
    <w:rsid w:val="00F5187C"/>
    <w:rsid w:val="00F83C1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AutoShape 8"/>
        <o:r id="V:Rule7" type="connector" idref="#AutoShape 6"/>
        <o:r id="V:Rule8" type="connector" idref="#AutoShape 10"/>
        <o:r id="V:Rule9" type="connector" idref="#AutoShape 7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n in °C</c:v>
                </c:pt>
              </c:strCache>
            </c:strRef>
          </c:tx>
          <c:marker>
            <c:symbol val="none"/>
          </c:marker>
          <c:cat>
            <c:numRef>
              <c:f>Tabelle1!$A$2:$A$17</c:f>
              <c:numCache>
                <c:formatCode>General</c:formatCode>
                <c:ptCount val="1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</c:numCache>
            </c:numRef>
          </c:cat>
          <c:val>
            <c:numRef>
              <c:f>Tabelle1!$B$2:$B$17</c:f>
              <c:numCache>
                <c:formatCode>General</c:formatCode>
                <c:ptCount val="16"/>
                <c:pt idx="0">
                  <c:v>20.5</c:v>
                </c:pt>
                <c:pt idx="1">
                  <c:v>21.6</c:v>
                </c:pt>
                <c:pt idx="2">
                  <c:v>22.7</c:v>
                </c:pt>
                <c:pt idx="3">
                  <c:v>23.4</c:v>
                </c:pt>
                <c:pt idx="4">
                  <c:v>24.2</c:v>
                </c:pt>
                <c:pt idx="5">
                  <c:v>24.7</c:v>
                </c:pt>
                <c:pt idx="6">
                  <c:v>25.2</c:v>
                </c:pt>
                <c:pt idx="7">
                  <c:v>25.8</c:v>
                </c:pt>
                <c:pt idx="8">
                  <c:v>26.2</c:v>
                </c:pt>
                <c:pt idx="9">
                  <c:v>26.4</c:v>
                </c:pt>
                <c:pt idx="10">
                  <c:v>26.7</c:v>
                </c:pt>
                <c:pt idx="11">
                  <c:v>26.3</c:v>
                </c:pt>
                <c:pt idx="12">
                  <c:v>26.1</c:v>
                </c:pt>
                <c:pt idx="13">
                  <c:v>25.8</c:v>
                </c:pt>
                <c:pt idx="14">
                  <c:v>25.6</c:v>
                </c:pt>
                <c:pt idx="15">
                  <c:v>25.4</c:v>
                </c:pt>
              </c:numCache>
            </c:numRef>
          </c:val>
        </c:ser>
        <c:marker val="1"/>
        <c:axId val="71986560"/>
        <c:axId val="72013312"/>
      </c:lineChart>
      <c:catAx>
        <c:axId val="71986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V(HCl) in ml</a:t>
                </a:r>
              </a:p>
            </c:rich>
          </c:tx>
        </c:title>
        <c:numFmt formatCode="General" sourceLinked="1"/>
        <c:majorTickMark val="none"/>
        <c:tickLblPos val="nextTo"/>
        <c:crossAx val="72013312"/>
        <c:crosses val="autoZero"/>
        <c:lblAlgn val="ctr"/>
        <c:lblOffset val="100"/>
      </c:catAx>
      <c:valAx>
        <c:axId val="72013312"/>
        <c:scaling>
          <c:orientation val="minMax"/>
          <c:max val="28"/>
          <c:min val="2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 in °C</a:t>
                </a:r>
              </a:p>
            </c:rich>
          </c:tx>
        </c:title>
        <c:numFmt formatCode="General" sourceLinked="1"/>
        <c:majorTickMark val="none"/>
        <c:tickLblPos val="nextTo"/>
        <c:crossAx val="71986560"/>
        <c:crosses val="autoZero"/>
        <c:crossBetween val="midCat"/>
      </c:valAx>
      <c:spPr>
        <a:solidFill>
          <a:sysClr val="window" lastClr="FFFFFF"/>
        </a:solidFill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12F8-E5D7-439F-B12F-B6AEC73C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2015-12-15T09:13:00Z</dcterms:created>
  <dcterms:modified xsi:type="dcterms:W3CDTF">2015-12-15T09:13:00Z</dcterms:modified>
</cp:coreProperties>
</file>