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6240F3">
      <w:pPr>
        <w:suppressAutoHyphens/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6240F3" w:rsidRDefault="006240F3" w:rsidP="006240F3">
      <w:pPr>
        <w:suppressAutoHyphens/>
        <w:spacing w:after="120"/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AF5A5A" w:rsidRPr="008119C5" w:rsidTr="00B554C3">
        <w:tc>
          <w:tcPr>
            <w:tcW w:w="2802" w:type="dxa"/>
          </w:tcPr>
          <w:p w:rsidR="00AF5A5A" w:rsidRPr="008119C5" w:rsidRDefault="00AF5A5A" w:rsidP="006240F3">
            <w:pPr>
              <w:suppressAutoHyphens/>
              <w:spacing w:before="120" w:after="12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AF5A5A" w:rsidRPr="00202F49" w:rsidRDefault="00AF5A5A" w:rsidP="006240F3">
            <w:pPr>
              <w:suppressAutoHyphens/>
              <w:spacing w:before="120" w:after="120"/>
            </w:pPr>
            <w:r>
              <w:t>Deutsche Gebärdensprache</w:t>
            </w:r>
          </w:p>
        </w:tc>
      </w:tr>
      <w:tr w:rsidR="00AF5A5A" w:rsidRPr="008119C5" w:rsidTr="00B554C3">
        <w:tc>
          <w:tcPr>
            <w:tcW w:w="2802" w:type="dxa"/>
          </w:tcPr>
          <w:p w:rsidR="00AF5A5A" w:rsidRPr="008119C5" w:rsidRDefault="00AF5A5A" w:rsidP="006240F3">
            <w:pPr>
              <w:suppressAutoHyphens/>
              <w:spacing w:before="120" w:after="120"/>
              <w:rPr>
                <w:b/>
              </w:rPr>
            </w:pPr>
            <w:r w:rsidRPr="009B046A">
              <w:rPr>
                <w:b/>
              </w:rPr>
              <w:t>Name der Aufgabe</w:t>
            </w:r>
          </w:p>
        </w:tc>
        <w:tc>
          <w:tcPr>
            <w:tcW w:w="6433" w:type="dxa"/>
            <w:gridSpan w:val="3"/>
          </w:tcPr>
          <w:p w:rsidR="00AF5A5A" w:rsidRDefault="00A33121" w:rsidP="006240F3">
            <w:pPr>
              <w:suppressAutoHyphens/>
              <w:spacing w:before="120" w:after="120"/>
            </w:pPr>
            <w:r>
              <w:t>Dialogisches Gebärden Niveau G</w:t>
            </w:r>
          </w:p>
        </w:tc>
      </w:tr>
      <w:tr w:rsidR="00AF5A5A" w:rsidRPr="008119C5" w:rsidTr="00B554C3">
        <w:tc>
          <w:tcPr>
            <w:tcW w:w="2802" w:type="dxa"/>
          </w:tcPr>
          <w:p w:rsidR="00AF5A5A" w:rsidRPr="008119C5" w:rsidRDefault="00AF5A5A" w:rsidP="006240F3">
            <w:pPr>
              <w:suppressAutoHyphens/>
              <w:spacing w:before="120" w:after="12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AF5A5A" w:rsidRPr="008A1768" w:rsidRDefault="00AF5A5A" w:rsidP="006240F3">
            <w:pPr>
              <w:suppressAutoHyphens/>
              <w:spacing w:before="120" w:after="120"/>
            </w:pPr>
            <w:r>
              <w:t>Funktionale kommunikative Kompetenz</w:t>
            </w:r>
          </w:p>
        </w:tc>
      </w:tr>
      <w:tr w:rsidR="00AF5A5A" w:rsidRPr="008119C5" w:rsidTr="00B554C3">
        <w:tc>
          <w:tcPr>
            <w:tcW w:w="2802" w:type="dxa"/>
          </w:tcPr>
          <w:p w:rsidR="00AF5A5A" w:rsidRPr="008119C5" w:rsidRDefault="00AF5A5A" w:rsidP="006240F3">
            <w:pPr>
              <w:tabs>
                <w:tab w:val="left" w:pos="1373"/>
              </w:tabs>
              <w:suppressAutoHyphens/>
              <w:spacing w:before="120" w:after="12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AF5A5A" w:rsidRPr="008A1768" w:rsidRDefault="00AF5A5A" w:rsidP="006240F3">
            <w:pPr>
              <w:tabs>
                <w:tab w:val="left" w:pos="1373"/>
              </w:tabs>
              <w:suppressAutoHyphens/>
              <w:spacing w:before="120" w:after="120"/>
            </w:pPr>
            <w:r>
              <w:t>Dialogisches Gebärden</w:t>
            </w:r>
          </w:p>
        </w:tc>
      </w:tr>
      <w:tr w:rsidR="00AF5A5A" w:rsidRPr="008119C5" w:rsidTr="00B554C3">
        <w:tc>
          <w:tcPr>
            <w:tcW w:w="2802" w:type="dxa"/>
          </w:tcPr>
          <w:p w:rsidR="00AF5A5A" w:rsidRPr="008119C5" w:rsidRDefault="00AF5A5A" w:rsidP="006240F3">
            <w:pPr>
              <w:tabs>
                <w:tab w:val="left" w:pos="1190"/>
              </w:tabs>
              <w:suppressAutoHyphens/>
              <w:spacing w:before="120" w:after="120"/>
              <w:rPr>
                <w:b/>
              </w:rPr>
            </w:pPr>
            <w:r>
              <w:rPr>
                <w:b/>
              </w:rPr>
              <w:t>Niveaus</w:t>
            </w:r>
            <w:r w:rsidRPr="008119C5">
              <w:rPr>
                <w:b/>
              </w:rPr>
              <w:t>tufe</w:t>
            </w:r>
            <w:r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AF5A5A" w:rsidRPr="008A1768" w:rsidRDefault="00AF5A5A" w:rsidP="006240F3">
            <w:pPr>
              <w:tabs>
                <w:tab w:val="left" w:pos="1190"/>
              </w:tabs>
              <w:suppressAutoHyphens/>
              <w:spacing w:before="120" w:after="120"/>
            </w:pPr>
            <w:r>
              <w:t>G</w:t>
            </w:r>
          </w:p>
        </w:tc>
      </w:tr>
      <w:tr w:rsidR="00AF5A5A" w:rsidRPr="008119C5" w:rsidTr="00B554C3">
        <w:tc>
          <w:tcPr>
            <w:tcW w:w="2802" w:type="dxa"/>
          </w:tcPr>
          <w:p w:rsidR="00AF5A5A" w:rsidRDefault="00AF5A5A" w:rsidP="006240F3">
            <w:pPr>
              <w:tabs>
                <w:tab w:val="left" w:pos="1190"/>
              </w:tabs>
              <w:suppressAutoHyphens/>
              <w:spacing w:before="120" w:after="12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AF5A5A" w:rsidRPr="008A1768" w:rsidRDefault="00AF5A5A" w:rsidP="006240F3">
            <w:pPr>
              <w:tabs>
                <w:tab w:val="left" w:pos="1190"/>
              </w:tabs>
              <w:suppressAutoHyphens/>
              <w:spacing w:before="120" w:after="120"/>
            </w:pPr>
            <w:r>
              <w:t>Die Schülerinnen und Schüler können sich spontan verständlich an inhaltlich zunehmend komplexen Gesprächen beteiligen, sowie sich personen-, ziel- und situationsbezogen zu einer Reihe von bekannten Themen gedanklich strukturiert äußern.</w:t>
            </w:r>
          </w:p>
        </w:tc>
      </w:tr>
      <w:tr w:rsidR="00AF5A5A" w:rsidRPr="008119C5" w:rsidTr="00B554C3">
        <w:tc>
          <w:tcPr>
            <w:tcW w:w="2802" w:type="dxa"/>
            <w:tcBorders>
              <w:bottom w:val="single" w:sz="4" w:space="0" w:color="808080"/>
            </w:tcBorders>
          </w:tcPr>
          <w:p w:rsidR="00AF5A5A" w:rsidRPr="008119C5" w:rsidRDefault="00AF5A5A" w:rsidP="006240F3">
            <w:pPr>
              <w:tabs>
                <w:tab w:val="left" w:pos="1190"/>
              </w:tabs>
              <w:suppressAutoHyphens/>
              <w:spacing w:before="120" w:after="12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AF5A5A" w:rsidRPr="00202F49" w:rsidRDefault="00A33121" w:rsidP="006240F3">
            <w:pPr>
              <w:tabs>
                <w:tab w:val="left" w:pos="1190"/>
              </w:tabs>
              <w:suppressAutoHyphens/>
              <w:spacing w:before="120" w:after="120"/>
            </w:pPr>
            <w:r>
              <w:t>3.10</w:t>
            </w:r>
            <w:r w:rsidR="00E82787">
              <w:t>.</w:t>
            </w:r>
            <w:r>
              <w:t xml:space="preserve"> Kommunikation und Alltagsbewältigung/Staatliche Hilfen und Unterstützung</w:t>
            </w:r>
          </w:p>
        </w:tc>
      </w:tr>
      <w:tr w:rsidR="00AF5A5A" w:rsidRPr="008119C5" w:rsidTr="00B554C3">
        <w:tc>
          <w:tcPr>
            <w:tcW w:w="2802" w:type="dxa"/>
            <w:tcBorders>
              <w:bottom w:val="single" w:sz="4" w:space="0" w:color="808080"/>
            </w:tcBorders>
          </w:tcPr>
          <w:p w:rsidR="00AF5A5A" w:rsidRDefault="00AF5A5A" w:rsidP="006240F3">
            <w:pPr>
              <w:tabs>
                <w:tab w:val="left" w:pos="1190"/>
              </w:tabs>
              <w:suppressAutoHyphens/>
              <w:spacing w:before="120" w:after="120"/>
              <w:rPr>
                <w:b/>
              </w:rPr>
            </w:pPr>
            <w:r>
              <w:rPr>
                <w:b/>
              </w:rPr>
              <w:t>ggf. Bezug Basiscurriculum (BC) oder übergreifenden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A33121" w:rsidRPr="00202F49" w:rsidRDefault="00A33121" w:rsidP="006240F3">
            <w:pPr>
              <w:tabs>
                <w:tab w:val="left" w:pos="1190"/>
              </w:tabs>
              <w:suppressAutoHyphens/>
              <w:spacing w:before="120" w:after="120"/>
            </w:pPr>
            <w:r>
              <w:t>BC Sprachbildung 1.3.3 Produktion</w:t>
            </w:r>
            <w:r w:rsidR="006240F3">
              <w:t xml:space="preserve"> </w:t>
            </w:r>
            <w:r>
              <w:t xml:space="preserve">Überlegungen zu einem Thema darlegen </w:t>
            </w:r>
          </w:p>
        </w:tc>
      </w:tr>
      <w:tr w:rsidR="00AF5A5A" w:rsidRPr="008119C5" w:rsidTr="00B554C3">
        <w:tc>
          <w:tcPr>
            <w:tcW w:w="2802" w:type="dxa"/>
            <w:tcBorders>
              <w:bottom w:val="single" w:sz="4" w:space="0" w:color="808080"/>
            </w:tcBorders>
          </w:tcPr>
          <w:p w:rsidR="00AF5A5A" w:rsidRDefault="00AF5A5A" w:rsidP="006240F3">
            <w:pPr>
              <w:tabs>
                <w:tab w:val="left" w:pos="1190"/>
              </w:tabs>
              <w:suppressAutoHyphens/>
              <w:spacing w:before="120" w:after="120"/>
              <w:rPr>
                <w:b/>
              </w:rPr>
            </w:pPr>
            <w:r>
              <w:rPr>
                <w:b/>
              </w:rPr>
              <w:t>ggf.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AF5A5A" w:rsidRPr="00202F49" w:rsidRDefault="00A33121" w:rsidP="006240F3">
            <w:pPr>
              <w:tabs>
                <w:tab w:val="left" w:pos="1190"/>
              </w:tabs>
              <w:suppressAutoHyphens/>
              <w:spacing w:before="120" w:after="120"/>
            </w:pPr>
            <w:r>
              <w:t>Die Schülerinnen und Schüler können die eigene Meinung mit Argumenten stützen und zu einem Sachverhalt Stellung nehmen.</w:t>
            </w:r>
          </w:p>
        </w:tc>
      </w:tr>
      <w:tr w:rsidR="00AF5A5A" w:rsidRPr="008119C5" w:rsidTr="00B554C3">
        <w:tc>
          <w:tcPr>
            <w:tcW w:w="9235" w:type="dxa"/>
            <w:gridSpan w:val="4"/>
            <w:tcBorders>
              <w:bottom w:val="nil"/>
            </w:tcBorders>
          </w:tcPr>
          <w:p w:rsidR="00AF5A5A" w:rsidRPr="008119C5" w:rsidRDefault="00AF5A5A" w:rsidP="006240F3">
            <w:pPr>
              <w:suppressAutoHyphens/>
              <w:spacing w:before="120" w:after="12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AF5A5A" w:rsidRPr="008119C5" w:rsidTr="00B554C3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AF5A5A" w:rsidRPr="008119C5" w:rsidRDefault="00AF5A5A" w:rsidP="006240F3">
            <w:pPr>
              <w:tabs>
                <w:tab w:val="left" w:pos="840"/>
              </w:tabs>
              <w:suppressAutoHyphens/>
              <w:spacing w:before="120" w:after="120"/>
              <w:rPr>
                <w:b/>
              </w:rPr>
            </w:pPr>
            <w:r w:rsidRPr="008119C5">
              <w:rPr>
                <w:b/>
              </w:rPr>
              <w:t>offen</w:t>
            </w:r>
            <w:r w:rsidRPr="00202F49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AF5A5A" w:rsidRPr="008119C5" w:rsidRDefault="00AF5A5A" w:rsidP="006240F3">
            <w:pPr>
              <w:suppressAutoHyphens/>
              <w:spacing w:before="120" w:after="120"/>
              <w:rPr>
                <w:b/>
              </w:rPr>
            </w:pPr>
            <w:r w:rsidRPr="008119C5">
              <w:rPr>
                <w:b/>
              </w:rPr>
              <w:t>halboffen</w:t>
            </w:r>
            <w:r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AF5A5A" w:rsidRPr="008119C5" w:rsidRDefault="00AF5A5A" w:rsidP="006240F3">
            <w:pPr>
              <w:tabs>
                <w:tab w:val="left" w:pos="1735"/>
              </w:tabs>
              <w:suppressAutoHyphens/>
              <w:spacing w:before="120" w:after="120"/>
              <w:rPr>
                <w:b/>
              </w:rPr>
            </w:pPr>
            <w:r w:rsidRPr="008119C5">
              <w:rPr>
                <w:b/>
              </w:rPr>
              <w:t>geschlossen</w:t>
            </w:r>
            <w:r>
              <w:rPr>
                <w:b/>
              </w:rPr>
              <w:tab/>
            </w:r>
          </w:p>
        </w:tc>
      </w:tr>
      <w:tr w:rsidR="00AF5A5A" w:rsidRPr="008119C5" w:rsidTr="00B554C3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AF5A5A" w:rsidRPr="008119C5" w:rsidRDefault="00AF5A5A" w:rsidP="006240F3">
            <w:pPr>
              <w:suppressAutoHyphens/>
              <w:spacing w:before="120" w:after="12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AF5A5A" w:rsidRPr="008119C5" w:rsidTr="00B554C3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AF5A5A" w:rsidRPr="008119C5" w:rsidRDefault="00AF5A5A" w:rsidP="006240F3">
            <w:pPr>
              <w:suppressAutoHyphens/>
              <w:spacing w:before="120" w:after="120"/>
              <w:rPr>
                <w:b/>
              </w:rPr>
            </w:pPr>
            <w:r>
              <w:rPr>
                <w:b/>
              </w:rPr>
              <w:t xml:space="preserve">Datum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AF5A5A" w:rsidRPr="008119C5" w:rsidRDefault="00AF5A5A" w:rsidP="006240F3">
            <w:pPr>
              <w:suppressAutoHyphens/>
              <w:spacing w:before="120" w:after="120"/>
              <w:rPr>
                <w:b/>
              </w:rPr>
            </w:pPr>
            <w:r>
              <w:rPr>
                <w:b/>
              </w:rPr>
              <w:t>Jahrgangsstufe</w:t>
            </w:r>
            <w:r w:rsidRPr="008119C5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AF5A5A" w:rsidRPr="008119C5" w:rsidRDefault="00AF5A5A" w:rsidP="006240F3">
            <w:pPr>
              <w:suppressAutoHyphens/>
              <w:spacing w:before="120" w:after="120"/>
              <w:rPr>
                <w:b/>
              </w:rPr>
            </w:pPr>
            <w:r w:rsidRPr="008119C5">
              <w:rPr>
                <w:b/>
              </w:rPr>
              <w:t>Schulart:</w:t>
            </w:r>
            <w:r>
              <w:rPr>
                <w:b/>
              </w:rPr>
              <w:t xml:space="preserve"> </w:t>
            </w:r>
          </w:p>
        </w:tc>
      </w:tr>
      <w:tr w:rsidR="00AF5A5A" w:rsidRPr="008119C5" w:rsidTr="00B554C3">
        <w:trPr>
          <w:trHeight w:val="259"/>
        </w:trPr>
        <w:tc>
          <w:tcPr>
            <w:tcW w:w="2802" w:type="dxa"/>
            <w:tcBorders>
              <w:top w:val="single" w:sz="4" w:space="0" w:color="808080"/>
            </w:tcBorders>
          </w:tcPr>
          <w:p w:rsidR="00AF5A5A" w:rsidRDefault="00AF5A5A" w:rsidP="006240F3">
            <w:pPr>
              <w:suppressAutoHyphens/>
              <w:spacing w:before="120" w:after="12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/>
            </w:tcBorders>
          </w:tcPr>
          <w:p w:rsidR="00AF5A5A" w:rsidRPr="008A1768" w:rsidRDefault="00A10B5A" w:rsidP="006240F3">
            <w:pPr>
              <w:suppressAutoHyphens/>
              <w:spacing w:before="120" w:after="120"/>
            </w:pPr>
            <w:r>
              <w:t>Deutsche Gebärdensprache, Dialogisches Gebärden</w:t>
            </w:r>
          </w:p>
        </w:tc>
      </w:tr>
    </w:tbl>
    <w:p w:rsidR="00AF5A5A" w:rsidRDefault="00AF5A5A" w:rsidP="006240F3">
      <w:pPr>
        <w:suppressAutoHyphens/>
        <w:spacing w:line="240" w:lineRule="auto"/>
      </w:pPr>
    </w:p>
    <w:p w:rsidR="00AF5A5A" w:rsidRDefault="00AF5A5A" w:rsidP="006240F3">
      <w:pPr>
        <w:suppressAutoHyphens/>
        <w:spacing w:line="240" w:lineRule="auto"/>
        <w:sectPr w:rsidR="00AF5A5A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5187C" w:rsidRDefault="00B5237E" w:rsidP="006240F3">
      <w:pPr>
        <w:suppressAutoHyphens/>
        <w:spacing w:before="60" w:after="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Aufgabe und Material</w:t>
      </w:r>
    </w:p>
    <w:p w:rsidR="00F5187C" w:rsidRDefault="00F5187C" w:rsidP="006240F3">
      <w:pPr>
        <w:suppressAutoHyphens/>
        <w:spacing w:before="60" w:after="60"/>
        <w:rPr>
          <w:b/>
        </w:rPr>
      </w:pPr>
    </w:p>
    <w:p w:rsidR="00AF5A5A" w:rsidRPr="00A33121" w:rsidRDefault="00AF5A5A" w:rsidP="006240F3">
      <w:pPr>
        <w:suppressAutoHyphens/>
        <w:spacing w:before="60" w:after="60"/>
        <w:rPr>
          <w:b/>
        </w:rPr>
      </w:pPr>
      <w:r w:rsidRPr="00A33121">
        <w:t>Ein aktuelles und bekanntes Thema wird eingebracht</w:t>
      </w:r>
      <w:r w:rsidR="00840191">
        <w:t>,</w:t>
      </w:r>
      <w:r w:rsidRPr="00A33121">
        <w:t xml:space="preserve"> z.</w:t>
      </w:r>
      <w:r w:rsidR="00A33121">
        <w:t xml:space="preserve"> </w:t>
      </w:r>
      <w:r w:rsidRPr="00A33121">
        <w:t>B. Teilhabegeld für die Tauben.</w:t>
      </w:r>
    </w:p>
    <w:p w:rsidR="00AF5A5A" w:rsidRDefault="00AF5A5A" w:rsidP="006240F3">
      <w:pPr>
        <w:suppressAutoHyphens/>
        <w:spacing w:before="60" w:after="60"/>
        <w:jc w:val="both"/>
      </w:pPr>
      <w:r w:rsidRPr="00A33121">
        <w:t>Ein</w:t>
      </w:r>
      <w:r w:rsidR="009906E1">
        <w:t>e Schülerin</w:t>
      </w:r>
      <w:r w:rsidR="00840191">
        <w:t xml:space="preserve"> oder ein Schüler</w:t>
      </w:r>
      <w:r w:rsidR="009906E1">
        <w:t xml:space="preserve"> wird aus de</w:t>
      </w:r>
      <w:r w:rsidR="00840191">
        <w:t>m</w:t>
      </w:r>
      <w:r w:rsidR="0022363A">
        <w:t xml:space="preserve"> Raum</w:t>
      </w:r>
      <w:r w:rsidRPr="00A33121">
        <w:t xml:space="preserve"> geschickt.</w:t>
      </w:r>
      <w:r w:rsidR="009906E1">
        <w:t xml:space="preserve"> In der Zeit </w:t>
      </w:r>
      <w:r w:rsidR="009906E1" w:rsidRPr="00A33121">
        <w:t xml:space="preserve">diskutieren </w:t>
      </w:r>
      <w:r w:rsidR="009906E1">
        <w:t>z</w:t>
      </w:r>
      <w:r w:rsidRPr="00A33121">
        <w:t>wei Schüler</w:t>
      </w:r>
      <w:r w:rsidR="00E82787">
        <w:t>innen</w:t>
      </w:r>
      <w:r w:rsidR="00840191">
        <w:t xml:space="preserve"> und </w:t>
      </w:r>
      <w:r w:rsidR="00E82787">
        <w:t>Schüler</w:t>
      </w:r>
      <w:r w:rsidRPr="00A33121">
        <w:t xml:space="preserve"> </w:t>
      </w:r>
      <w:r w:rsidR="009906E1">
        <w:t>anhand der Thesen, welche</w:t>
      </w:r>
      <w:r w:rsidRPr="00A33121">
        <w:t xml:space="preserve"> d</w:t>
      </w:r>
      <w:r w:rsidR="00A33121">
        <w:t>ie</w:t>
      </w:r>
      <w:r w:rsidRPr="00A33121">
        <w:t xml:space="preserve"> Lehrkraft vorbereitet hat, über das </w:t>
      </w:r>
      <w:r w:rsidR="009906E1">
        <w:t xml:space="preserve">vorgegebene Thema. </w:t>
      </w:r>
      <w:r w:rsidR="00840191">
        <w:t>Die Schülerin bzw. der Schüler kommt in den Raum zurück und beteiligt sich an der Diskussion.</w:t>
      </w:r>
    </w:p>
    <w:p w:rsidR="00A33121" w:rsidRPr="00A33121" w:rsidRDefault="00A33121" w:rsidP="006240F3">
      <w:pPr>
        <w:suppressAutoHyphens/>
        <w:spacing w:before="60" w:after="60"/>
      </w:pPr>
    </w:p>
    <w:p w:rsidR="00AF5A5A" w:rsidRPr="00A33121" w:rsidRDefault="00AF5A5A" w:rsidP="006240F3">
      <w:pPr>
        <w:suppressAutoHyphens/>
        <w:spacing w:before="60" w:after="60"/>
      </w:pPr>
      <w:r w:rsidRPr="00840191">
        <w:rPr>
          <w:b/>
        </w:rPr>
        <w:t>Aufgabe:</w:t>
      </w:r>
      <w:r w:rsidRPr="00A33121">
        <w:t xml:space="preserve"> </w:t>
      </w:r>
      <w:r w:rsidR="00A33121">
        <w:tab/>
      </w:r>
      <w:r w:rsidRPr="00A33121">
        <w:t xml:space="preserve">Beteilige dich am Gespräch. Bringe deine Meinung ein und begründe sie </w:t>
      </w:r>
      <w:r w:rsidR="00A33121">
        <w:tab/>
      </w:r>
      <w:r w:rsidR="00A33121">
        <w:tab/>
      </w:r>
      <w:r w:rsidRPr="00A33121">
        <w:t xml:space="preserve">sachgerecht mit Fakten. Gehe </w:t>
      </w:r>
      <w:r w:rsidR="00A34B67">
        <w:t xml:space="preserve">auch </w:t>
      </w:r>
      <w:r w:rsidRPr="00A33121">
        <w:t xml:space="preserve">auf </w:t>
      </w:r>
      <w:r w:rsidR="00A34B67">
        <w:t xml:space="preserve">die </w:t>
      </w:r>
      <w:r w:rsidRPr="00A33121">
        <w:t xml:space="preserve">Meinungen und Argumente deiner </w:t>
      </w:r>
      <w:r w:rsidR="00A33121">
        <w:br/>
      </w:r>
      <w:r w:rsidR="00A33121">
        <w:tab/>
      </w:r>
      <w:r w:rsidR="00A33121">
        <w:tab/>
      </w:r>
      <w:r w:rsidR="00840191">
        <w:t>Gesprächspartnerinnen und Gesprächspartner ein.</w:t>
      </w:r>
    </w:p>
    <w:p w:rsidR="00AF5A5A" w:rsidRPr="00A33121" w:rsidRDefault="00AF5A5A" w:rsidP="006240F3">
      <w:pPr>
        <w:suppressAutoHyphens/>
        <w:spacing w:before="60" w:after="60"/>
      </w:pPr>
    </w:p>
    <w:p w:rsidR="00AF5A5A" w:rsidRPr="00A33121" w:rsidRDefault="00AF5A5A" w:rsidP="006240F3">
      <w:pPr>
        <w:suppressAutoHyphens/>
        <w:spacing w:before="60" w:after="60"/>
        <w:jc w:val="both"/>
      </w:pPr>
      <w:r w:rsidRPr="00A33121">
        <w:t>Als Vor</w:t>
      </w:r>
      <w:r w:rsidR="0022363A">
        <w:t>aussetzung für diese Diskussion</w:t>
      </w:r>
      <w:r w:rsidRPr="00A33121">
        <w:t xml:space="preserve"> sollten die Schüler</w:t>
      </w:r>
      <w:r w:rsidR="00A33121">
        <w:t>innen und Schüler</w:t>
      </w:r>
      <w:r w:rsidRPr="00A33121">
        <w:t xml:space="preserve"> Kenntnisse über das </w:t>
      </w:r>
      <w:r w:rsidR="009906E1">
        <w:t xml:space="preserve">vorgegebene </w:t>
      </w:r>
      <w:r w:rsidRPr="00A33121">
        <w:t>Thema</w:t>
      </w:r>
      <w:r w:rsidR="009906E1">
        <w:t xml:space="preserve"> haben. Bei dem Beispiel zum </w:t>
      </w:r>
      <w:r w:rsidR="00840191">
        <w:t xml:space="preserve">Teilhabegeld für die Tauben </w:t>
      </w:r>
      <w:r w:rsidR="00A34B67">
        <w:t>spielt vor allem die</w:t>
      </w:r>
      <w:r w:rsidR="009906E1">
        <w:t xml:space="preserve"> </w:t>
      </w:r>
      <w:r w:rsidRPr="00A33121">
        <w:t xml:space="preserve">gesetzliche Grundlage in Bezug auf </w:t>
      </w:r>
      <w:r w:rsidR="009906E1">
        <w:t xml:space="preserve">die </w:t>
      </w:r>
      <w:r w:rsidRPr="00A33121">
        <w:t>Hilfeleistu</w:t>
      </w:r>
      <w:r w:rsidR="009906E1">
        <w:t>ng für Taube</w:t>
      </w:r>
      <w:r w:rsidR="00A34B67">
        <w:t xml:space="preserve"> eine wesentliche</w:t>
      </w:r>
      <w:r w:rsidR="009906E1">
        <w:t xml:space="preserve"> Rolle. </w:t>
      </w:r>
    </w:p>
    <w:p w:rsidR="00AF5A5A" w:rsidRPr="00A33121" w:rsidRDefault="00AF5A5A" w:rsidP="006240F3">
      <w:pPr>
        <w:suppressAutoHyphens/>
        <w:spacing w:before="60" w:after="60"/>
      </w:pPr>
    </w:p>
    <w:p w:rsidR="00AF5A5A" w:rsidRPr="00A33121" w:rsidRDefault="00AF5A5A" w:rsidP="006240F3">
      <w:pPr>
        <w:suppressAutoHyphens/>
        <w:spacing w:before="60" w:after="240"/>
      </w:pPr>
      <w:r w:rsidRPr="00A33121">
        <w:t>A</w:t>
      </w:r>
      <w:r w:rsidR="00D37099">
        <w:t>ndere Themen als Beispiele könnten sein</w:t>
      </w:r>
      <w:r w:rsidRPr="00A33121">
        <w:t xml:space="preserve">: </w:t>
      </w:r>
    </w:p>
    <w:p w:rsidR="00AF5A5A" w:rsidRPr="00A33121" w:rsidRDefault="009906E1" w:rsidP="006240F3">
      <w:pPr>
        <w:numPr>
          <w:ilvl w:val="0"/>
          <w:numId w:val="11"/>
        </w:numPr>
        <w:suppressAutoHyphens/>
        <w:spacing w:before="60" w:after="60"/>
      </w:pPr>
      <w:r>
        <w:t>Dolmetscherkosten</w:t>
      </w:r>
    </w:p>
    <w:p w:rsidR="00AF5A5A" w:rsidRDefault="00AF5A5A" w:rsidP="006240F3">
      <w:pPr>
        <w:numPr>
          <w:ilvl w:val="0"/>
          <w:numId w:val="11"/>
        </w:numPr>
        <w:suppressAutoHyphens/>
        <w:spacing w:before="60" w:after="60"/>
      </w:pPr>
      <w:r w:rsidRPr="00A33121">
        <w:t>DGS als Wahl</w:t>
      </w:r>
      <w:r w:rsidR="00D37099">
        <w:t>pflichtfach für alle</w:t>
      </w:r>
      <w:r w:rsidR="008234F3">
        <w:t xml:space="preserve"> Schulformen</w:t>
      </w:r>
      <w:r w:rsidR="00840191">
        <w:t xml:space="preserve"> </w:t>
      </w:r>
    </w:p>
    <w:p w:rsidR="00D37099" w:rsidRPr="00A33121" w:rsidRDefault="009906E1" w:rsidP="006240F3">
      <w:pPr>
        <w:numPr>
          <w:ilvl w:val="0"/>
          <w:numId w:val="11"/>
        </w:numPr>
        <w:suppressAutoHyphens/>
        <w:spacing w:before="60" w:after="60"/>
      </w:pPr>
      <w:r>
        <w:t>Hörende Schauspieler spielen Taube (z.</w:t>
      </w:r>
      <w:r w:rsidR="00840191">
        <w:t xml:space="preserve"> </w:t>
      </w:r>
      <w:r>
        <w:t>B. bei dem Film „</w:t>
      </w:r>
      <w:r w:rsidR="00A34B67">
        <w:t>Verstehen Sie die B</w:t>
      </w:r>
      <w:r w:rsidR="00A34B67">
        <w:rPr>
          <w:rFonts w:cs="Angsana New" w:hint="cs"/>
        </w:rPr>
        <w:t>é</w:t>
      </w:r>
      <w:r w:rsidR="00A34B67">
        <w:t>liers</w:t>
      </w:r>
      <w:r>
        <w:t>?“</w:t>
      </w:r>
      <w:r w:rsidR="00A34B67">
        <w:t>)</w:t>
      </w:r>
    </w:p>
    <w:p w:rsidR="00AF5A5A" w:rsidRDefault="00AF5A5A" w:rsidP="006240F3">
      <w:pPr>
        <w:suppressAutoHyphens/>
        <w:spacing w:before="60" w:after="60"/>
        <w:rPr>
          <w:b/>
          <w:sz w:val="24"/>
          <w:szCs w:val="24"/>
        </w:rPr>
      </w:pPr>
    </w:p>
    <w:p w:rsidR="006240F3" w:rsidRDefault="006240F3" w:rsidP="006240F3">
      <w:pPr>
        <w:suppressAutoHyphens/>
        <w:spacing w:before="60" w:after="60"/>
        <w:rPr>
          <w:b/>
          <w:sz w:val="24"/>
          <w:szCs w:val="24"/>
        </w:rPr>
      </w:pPr>
    </w:p>
    <w:p w:rsidR="006240F3" w:rsidRDefault="006240F3" w:rsidP="006240F3">
      <w:pPr>
        <w:suppressAutoHyphens/>
        <w:spacing w:before="60" w:after="60"/>
        <w:rPr>
          <w:b/>
          <w:sz w:val="24"/>
          <w:szCs w:val="24"/>
        </w:rPr>
      </w:pPr>
    </w:p>
    <w:p w:rsidR="006240F3" w:rsidRDefault="006240F3" w:rsidP="006240F3">
      <w:pPr>
        <w:suppressAutoHyphens/>
        <w:spacing w:before="60" w:after="60"/>
        <w:rPr>
          <w:b/>
          <w:sz w:val="24"/>
          <w:szCs w:val="24"/>
        </w:rPr>
      </w:pPr>
    </w:p>
    <w:p w:rsidR="006240F3" w:rsidRDefault="006240F3" w:rsidP="006240F3">
      <w:pPr>
        <w:suppressAutoHyphens/>
        <w:spacing w:before="60" w:after="60"/>
        <w:rPr>
          <w:b/>
          <w:sz w:val="24"/>
          <w:szCs w:val="24"/>
        </w:rPr>
      </w:pPr>
    </w:p>
    <w:p w:rsidR="006240F3" w:rsidRDefault="006240F3" w:rsidP="006240F3">
      <w:pPr>
        <w:suppressAutoHyphens/>
        <w:spacing w:before="60" w:after="60"/>
        <w:rPr>
          <w:b/>
          <w:sz w:val="24"/>
          <w:szCs w:val="24"/>
        </w:rPr>
      </w:pPr>
    </w:p>
    <w:p w:rsidR="006240F3" w:rsidRDefault="006240F3" w:rsidP="006240F3">
      <w:pPr>
        <w:suppressAutoHyphens/>
        <w:spacing w:before="60" w:after="60"/>
        <w:rPr>
          <w:b/>
          <w:sz w:val="24"/>
          <w:szCs w:val="24"/>
        </w:rPr>
      </w:pPr>
    </w:p>
    <w:p w:rsidR="006240F3" w:rsidRDefault="006240F3" w:rsidP="006240F3">
      <w:pPr>
        <w:suppressAutoHyphens/>
        <w:spacing w:before="60" w:after="60"/>
        <w:rPr>
          <w:b/>
          <w:sz w:val="24"/>
          <w:szCs w:val="24"/>
        </w:rPr>
      </w:pPr>
    </w:p>
    <w:p w:rsidR="006240F3" w:rsidRDefault="006240F3" w:rsidP="006240F3">
      <w:pPr>
        <w:suppressAutoHyphens/>
        <w:spacing w:before="60" w:after="60"/>
        <w:rPr>
          <w:b/>
          <w:sz w:val="24"/>
          <w:szCs w:val="24"/>
        </w:rPr>
      </w:pPr>
    </w:p>
    <w:p w:rsidR="006240F3" w:rsidRDefault="006240F3" w:rsidP="006240F3">
      <w:pPr>
        <w:suppressAutoHyphens/>
        <w:spacing w:before="60" w:after="60"/>
        <w:rPr>
          <w:b/>
          <w:sz w:val="24"/>
          <w:szCs w:val="24"/>
        </w:rPr>
      </w:pPr>
    </w:p>
    <w:p w:rsidR="006240F3" w:rsidRDefault="006240F3" w:rsidP="006240F3">
      <w:pPr>
        <w:suppressAutoHyphens/>
        <w:spacing w:before="60" w:after="60"/>
        <w:rPr>
          <w:b/>
          <w:sz w:val="24"/>
          <w:szCs w:val="24"/>
        </w:rPr>
      </w:pPr>
    </w:p>
    <w:p w:rsidR="006240F3" w:rsidRDefault="006240F3" w:rsidP="006240F3">
      <w:pPr>
        <w:suppressAutoHyphens/>
        <w:spacing w:before="60" w:after="60"/>
        <w:rPr>
          <w:b/>
          <w:sz w:val="24"/>
          <w:szCs w:val="24"/>
        </w:rPr>
      </w:pPr>
    </w:p>
    <w:p w:rsidR="006240F3" w:rsidRDefault="006240F3" w:rsidP="006240F3">
      <w:pPr>
        <w:suppressAutoHyphens/>
        <w:spacing w:before="60" w:after="60"/>
        <w:rPr>
          <w:b/>
          <w:sz w:val="24"/>
          <w:szCs w:val="24"/>
        </w:rPr>
      </w:pPr>
    </w:p>
    <w:p w:rsidR="006240F3" w:rsidRDefault="006240F3" w:rsidP="006240F3">
      <w:pPr>
        <w:suppressAutoHyphens/>
        <w:spacing w:before="60" w:after="60"/>
        <w:rPr>
          <w:b/>
          <w:sz w:val="24"/>
          <w:szCs w:val="24"/>
        </w:rPr>
      </w:pPr>
    </w:p>
    <w:p w:rsidR="006240F3" w:rsidRDefault="006240F3" w:rsidP="006240F3">
      <w:pPr>
        <w:suppressAutoHyphens/>
        <w:spacing w:before="60" w:after="60"/>
        <w:rPr>
          <w:b/>
          <w:sz w:val="24"/>
          <w:szCs w:val="24"/>
        </w:rPr>
      </w:pPr>
    </w:p>
    <w:p w:rsidR="006240F3" w:rsidRDefault="006240F3" w:rsidP="006240F3">
      <w:pPr>
        <w:suppressAutoHyphens/>
        <w:spacing w:before="60" w:after="60"/>
        <w:rPr>
          <w:b/>
          <w:sz w:val="24"/>
          <w:szCs w:val="24"/>
        </w:rPr>
      </w:pPr>
    </w:p>
    <w:p w:rsidR="006240F3" w:rsidRDefault="006240F3" w:rsidP="006240F3">
      <w:pPr>
        <w:rPr>
          <w:b/>
          <w:sz w:val="24"/>
          <w:szCs w:val="24"/>
        </w:rPr>
      </w:pPr>
      <w:r w:rsidRPr="00420481">
        <w:rPr>
          <w:b/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1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0481">
        <w:t xml:space="preserve"> </w:t>
      </w:r>
      <w:r>
        <w:t>LISUM; Sieglinde Lemcke / Lutz Pepping / Natalie Josch</w:t>
      </w:r>
      <w:r>
        <w:rPr>
          <w:b/>
          <w:sz w:val="24"/>
          <w:szCs w:val="24"/>
        </w:rPr>
        <w:br w:type="page"/>
      </w:r>
    </w:p>
    <w:p w:rsidR="00D37099" w:rsidRDefault="00902A9F" w:rsidP="006240F3">
      <w:pPr>
        <w:suppressAutoHyphens/>
        <w:spacing w:before="60" w:after="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Erwart</w:t>
      </w:r>
      <w:r w:rsidR="00F5187C" w:rsidRPr="00E82787">
        <w:rPr>
          <w:b/>
          <w:sz w:val="24"/>
          <w:szCs w:val="24"/>
        </w:rPr>
        <w:t>ungshorizont</w:t>
      </w:r>
    </w:p>
    <w:p w:rsidR="00D37099" w:rsidRPr="00D37099" w:rsidRDefault="00D37099" w:rsidP="006240F3">
      <w:pPr>
        <w:suppressAutoHyphens/>
        <w:spacing w:before="60" w:after="60"/>
        <w:rPr>
          <w:b/>
          <w:sz w:val="24"/>
          <w:szCs w:val="24"/>
        </w:rPr>
      </w:pPr>
    </w:p>
    <w:p w:rsidR="00D37099" w:rsidRDefault="00D37099" w:rsidP="006240F3">
      <w:pPr>
        <w:suppressAutoHyphens/>
        <w:spacing w:before="60" w:after="60"/>
        <w:jc w:val="both"/>
      </w:pPr>
      <w:r>
        <w:t xml:space="preserve">Die Schülerinnen und Schüler nutzen zuvor erworbenes Wissen zu einem bestimmten Thema, bringen dieses Wissen mit Fachgebärden spontan </w:t>
      </w:r>
      <w:r w:rsidR="008234F3">
        <w:t>sowie</w:t>
      </w:r>
      <w:r>
        <w:t xml:space="preserve"> adressate</w:t>
      </w:r>
      <w:r w:rsidR="008234F3">
        <w:t>ngerecht in das Gespräch ein,</w:t>
      </w:r>
      <w:bookmarkStart w:id="0" w:name="_GoBack"/>
      <w:bookmarkEnd w:id="0"/>
      <w:r>
        <w:t xml:space="preserve"> beachten dabei ihre </w:t>
      </w:r>
      <w:r w:rsidR="00CD087E">
        <w:t xml:space="preserve">Gesprächspartnerinnen und </w:t>
      </w:r>
      <w:r>
        <w:t xml:space="preserve">Gesprächspartner </w:t>
      </w:r>
      <w:r w:rsidR="00CD087E">
        <w:t>sowie</w:t>
      </w:r>
      <w:r>
        <w:t xml:space="preserve"> die vereinbarten Kommunikationsregeln.</w:t>
      </w:r>
    </w:p>
    <w:p w:rsidR="00D37099" w:rsidRDefault="00D37099" w:rsidP="006240F3">
      <w:pPr>
        <w:suppressAutoHyphens/>
        <w:spacing w:before="60" w:after="60"/>
        <w:jc w:val="both"/>
      </w:pPr>
    </w:p>
    <w:p w:rsidR="00D37099" w:rsidRDefault="00D37099" w:rsidP="006240F3">
      <w:pPr>
        <w:suppressAutoHyphens/>
        <w:spacing w:before="60" w:after="60"/>
        <w:jc w:val="both"/>
      </w:pPr>
      <w:r>
        <w:t>Fachgebärden zum Beispielthema Teilhabegeld für die Tauben könnten sein:</w:t>
      </w:r>
    </w:p>
    <w:p w:rsidR="00D37099" w:rsidRDefault="00D37099" w:rsidP="006240F3">
      <w:pPr>
        <w:suppressAutoHyphens/>
        <w:spacing w:before="60" w:after="60"/>
        <w:jc w:val="both"/>
      </w:pPr>
    </w:p>
    <w:p w:rsidR="00D37099" w:rsidRDefault="00CD087E" w:rsidP="006240F3">
      <w:pPr>
        <w:pStyle w:val="Listenabsatz"/>
        <w:numPr>
          <w:ilvl w:val="0"/>
          <w:numId w:val="14"/>
        </w:numPr>
        <w:suppressAutoHyphens/>
        <w:spacing w:before="60" w:after="60"/>
        <w:jc w:val="both"/>
      </w:pPr>
      <w:r>
        <w:t>Teilhabegeld</w:t>
      </w:r>
    </w:p>
    <w:p w:rsidR="00D37099" w:rsidRDefault="00CD087E" w:rsidP="006240F3">
      <w:pPr>
        <w:pStyle w:val="Listenabsatz"/>
        <w:numPr>
          <w:ilvl w:val="0"/>
          <w:numId w:val="14"/>
        </w:numPr>
        <w:suppressAutoHyphens/>
        <w:spacing w:before="60" w:after="60"/>
        <w:jc w:val="both"/>
      </w:pPr>
      <w:r>
        <w:t>Pflegegeld</w:t>
      </w:r>
    </w:p>
    <w:p w:rsidR="00D37099" w:rsidRDefault="00D37099" w:rsidP="006240F3">
      <w:pPr>
        <w:pStyle w:val="Listenabsatz"/>
        <w:numPr>
          <w:ilvl w:val="0"/>
          <w:numId w:val="14"/>
        </w:numPr>
        <w:suppressAutoHyphens/>
        <w:spacing w:before="60" w:after="60"/>
        <w:jc w:val="both"/>
      </w:pPr>
      <w:r>
        <w:t>Gesetz (Sozialge</w:t>
      </w:r>
      <w:r w:rsidR="00CD087E">
        <w:t>setzbuch, Bundesteilhabegesetz)</w:t>
      </w:r>
    </w:p>
    <w:p w:rsidR="00D37099" w:rsidRDefault="00CD087E" w:rsidP="006240F3">
      <w:pPr>
        <w:pStyle w:val="Listenabsatz"/>
        <w:numPr>
          <w:ilvl w:val="0"/>
          <w:numId w:val="14"/>
        </w:numPr>
        <w:suppressAutoHyphens/>
        <w:spacing w:before="60" w:after="60"/>
        <w:jc w:val="both"/>
      </w:pPr>
      <w:r>
        <w:t>Antrag</w:t>
      </w:r>
    </w:p>
    <w:p w:rsidR="00D37099" w:rsidRDefault="00CD087E" w:rsidP="006240F3">
      <w:pPr>
        <w:pStyle w:val="Listenabsatz"/>
        <w:numPr>
          <w:ilvl w:val="0"/>
          <w:numId w:val="14"/>
        </w:numPr>
        <w:suppressAutoHyphens/>
        <w:spacing w:before="60" w:after="60"/>
        <w:jc w:val="both"/>
      </w:pPr>
      <w:r>
        <w:t xml:space="preserve">Amt </w:t>
      </w:r>
    </w:p>
    <w:p w:rsidR="00D37099" w:rsidRDefault="00D37099" w:rsidP="006240F3">
      <w:pPr>
        <w:pStyle w:val="Listenabsatz"/>
        <w:numPr>
          <w:ilvl w:val="0"/>
          <w:numId w:val="14"/>
        </w:numPr>
        <w:suppressAutoHyphens/>
        <w:spacing w:before="60" w:after="60"/>
        <w:jc w:val="both"/>
      </w:pPr>
      <w:r>
        <w:t>Namen der einzelnen Bund</w:t>
      </w:r>
      <w:r w:rsidR="00CD087E">
        <w:t>esländer</w:t>
      </w:r>
    </w:p>
    <w:p w:rsidR="00420481" w:rsidRDefault="00420481" w:rsidP="00BF22FF">
      <w:pPr>
        <w:spacing w:before="60" w:after="60"/>
        <w:rPr>
          <w:b/>
        </w:rPr>
      </w:pPr>
    </w:p>
    <w:p w:rsidR="006240F3" w:rsidRDefault="006240F3" w:rsidP="00BF22FF">
      <w:pPr>
        <w:spacing w:before="60" w:after="60"/>
        <w:rPr>
          <w:b/>
        </w:rPr>
      </w:pPr>
    </w:p>
    <w:p w:rsidR="006240F3" w:rsidRDefault="006240F3" w:rsidP="00BF22FF">
      <w:pPr>
        <w:spacing w:before="60" w:after="60"/>
        <w:rPr>
          <w:b/>
        </w:rPr>
      </w:pPr>
    </w:p>
    <w:p w:rsidR="006240F3" w:rsidRDefault="006240F3" w:rsidP="00BF22FF">
      <w:pPr>
        <w:spacing w:before="60" w:after="60"/>
        <w:rPr>
          <w:b/>
        </w:rPr>
      </w:pPr>
    </w:p>
    <w:p w:rsidR="006240F3" w:rsidRDefault="006240F3" w:rsidP="00BF22FF">
      <w:pPr>
        <w:spacing w:before="60" w:after="60"/>
        <w:rPr>
          <w:b/>
        </w:rPr>
      </w:pPr>
    </w:p>
    <w:p w:rsidR="006240F3" w:rsidRDefault="006240F3" w:rsidP="00BF22FF">
      <w:pPr>
        <w:spacing w:before="60" w:after="60"/>
        <w:rPr>
          <w:b/>
        </w:rPr>
      </w:pPr>
    </w:p>
    <w:p w:rsidR="006240F3" w:rsidRDefault="006240F3" w:rsidP="00BF22FF">
      <w:pPr>
        <w:spacing w:before="60" w:after="60"/>
        <w:rPr>
          <w:b/>
        </w:rPr>
      </w:pPr>
    </w:p>
    <w:p w:rsidR="006240F3" w:rsidRDefault="006240F3" w:rsidP="00BF22FF">
      <w:pPr>
        <w:spacing w:before="60" w:after="60"/>
        <w:rPr>
          <w:b/>
        </w:rPr>
      </w:pPr>
    </w:p>
    <w:p w:rsidR="006240F3" w:rsidRDefault="006240F3" w:rsidP="00BF22FF">
      <w:pPr>
        <w:spacing w:before="60" w:after="60"/>
        <w:rPr>
          <w:b/>
        </w:rPr>
      </w:pPr>
    </w:p>
    <w:p w:rsidR="006240F3" w:rsidRDefault="006240F3" w:rsidP="00BF22FF">
      <w:pPr>
        <w:spacing w:before="60" w:after="60"/>
        <w:rPr>
          <w:b/>
        </w:rPr>
      </w:pPr>
    </w:p>
    <w:p w:rsidR="006240F3" w:rsidRDefault="006240F3" w:rsidP="00BF22FF">
      <w:pPr>
        <w:spacing w:before="60" w:after="60"/>
        <w:rPr>
          <w:b/>
        </w:rPr>
      </w:pPr>
    </w:p>
    <w:p w:rsidR="006240F3" w:rsidRDefault="006240F3" w:rsidP="00BF22FF">
      <w:pPr>
        <w:spacing w:before="60" w:after="60"/>
        <w:rPr>
          <w:b/>
        </w:rPr>
      </w:pPr>
    </w:p>
    <w:p w:rsidR="006240F3" w:rsidRDefault="006240F3" w:rsidP="00BF22FF">
      <w:pPr>
        <w:spacing w:before="60" w:after="60"/>
        <w:rPr>
          <w:b/>
        </w:rPr>
      </w:pPr>
    </w:p>
    <w:p w:rsidR="006240F3" w:rsidRDefault="006240F3" w:rsidP="00BF22FF">
      <w:pPr>
        <w:spacing w:before="60" w:after="60"/>
        <w:rPr>
          <w:b/>
        </w:rPr>
      </w:pPr>
    </w:p>
    <w:p w:rsidR="006240F3" w:rsidRDefault="006240F3" w:rsidP="00BF22FF">
      <w:pPr>
        <w:spacing w:before="60" w:after="60"/>
        <w:rPr>
          <w:b/>
        </w:rPr>
      </w:pPr>
    </w:p>
    <w:p w:rsidR="006240F3" w:rsidRDefault="006240F3" w:rsidP="00BF22FF">
      <w:pPr>
        <w:spacing w:before="60" w:after="60"/>
        <w:rPr>
          <w:b/>
        </w:rPr>
      </w:pPr>
    </w:p>
    <w:p w:rsidR="006240F3" w:rsidRDefault="006240F3" w:rsidP="00BF22FF">
      <w:pPr>
        <w:spacing w:before="60" w:after="60"/>
        <w:rPr>
          <w:b/>
        </w:rPr>
      </w:pPr>
    </w:p>
    <w:p w:rsidR="006240F3" w:rsidRDefault="006240F3" w:rsidP="00BF22FF">
      <w:pPr>
        <w:spacing w:before="60" w:after="60"/>
        <w:rPr>
          <w:b/>
        </w:rPr>
      </w:pPr>
    </w:p>
    <w:p w:rsidR="006240F3" w:rsidRDefault="006240F3" w:rsidP="00BF22FF">
      <w:pPr>
        <w:spacing w:before="60" w:after="60"/>
        <w:rPr>
          <w:b/>
        </w:rPr>
      </w:pPr>
    </w:p>
    <w:p w:rsidR="006240F3" w:rsidRDefault="006240F3" w:rsidP="00BF22FF">
      <w:pPr>
        <w:spacing w:before="60" w:after="60"/>
        <w:rPr>
          <w:b/>
        </w:rPr>
      </w:pPr>
    </w:p>
    <w:p w:rsidR="006240F3" w:rsidRDefault="006240F3" w:rsidP="00BF22FF">
      <w:pPr>
        <w:spacing w:before="60" w:after="60"/>
        <w:rPr>
          <w:b/>
        </w:rPr>
      </w:pPr>
    </w:p>
    <w:p w:rsidR="006240F3" w:rsidRDefault="006240F3" w:rsidP="00BF22FF">
      <w:pPr>
        <w:spacing w:before="60" w:after="60"/>
        <w:rPr>
          <w:b/>
        </w:rPr>
      </w:pPr>
    </w:p>
    <w:p w:rsidR="006240F3" w:rsidRDefault="006240F3" w:rsidP="00BF22FF">
      <w:pPr>
        <w:spacing w:before="60" w:after="60"/>
        <w:rPr>
          <w:b/>
        </w:rPr>
      </w:pPr>
    </w:p>
    <w:p w:rsidR="006240F3" w:rsidRDefault="006240F3" w:rsidP="00BF22FF">
      <w:pPr>
        <w:spacing w:before="60" w:after="60"/>
        <w:rPr>
          <w:b/>
        </w:rPr>
      </w:pPr>
    </w:p>
    <w:p w:rsidR="008119C5" w:rsidRPr="00C2144F" w:rsidRDefault="00420481" w:rsidP="00C2144F">
      <w:pPr>
        <w:rPr>
          <w:sz w:val="2"/>
          <w:szCs w:val="2"/>
        </w:rPr>
      </w:pPr>
      <w:r w:rsidRPr="00420481">
        <w:rPr>
          <w:b/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0481">
        <w:t xml:space="preserve"> </w:t>
      </w:r>
      <w:r w:rsidR="006240F3">
        <w:t>LISUM;</w:t>
      </w:r>
      <w:r w:rsidR="00701A96">
        <w:t xml:space="preserve"> Sieglinde Lem</w:t>
      </w:r>
      <w:r w:rsidR="009B76C5">
        <w:t>c</w:t>
      </w:r>
      <w:r w:rsidR="006448AB">
        <w:t>ke / Lutz Pepping / Natalie Josch</w:t>
      </w:r>
    </w:p>
    <w:sectPr w:rsidR="008119C5" w:rsidRPr="00C2144F" w:rsidSect="004851BE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9C02EAC" w15:done="0"/>
  <w15:commentEx w15:paraId="5CCB888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E0C" w:rsidRDefault="004A7E0C" w:rsidP="00837EC7">
      <w:pPr>
        <w:spacing w:line="240" w:lineRule="auto"/>
      </w:pPr>
      <w:r>
        <w:separator/>
      </w:r>
    </w:p>
  </w:endnote>
  <w:endnote w:type="continuationSeparator" w:id="0">
    <w:p w:rsidR="004A7E0C" w:rsidRDefault="004A7E0C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4F3656" w:rsidRDefault="004F3656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317C60">
          <w:fldChar w:fldCharType="begin"/>
        </w:r>
        <w:r w:rsidR="003008B2">
          <w:instrText xml:space="preserve"> PAGE   \* MERGEFORMAT </w:instrText>
        </w:r>
        <w:r w:rsidR="00317C60">
          <w:fldChar w:fldCharType="separate"/>
        </w:r>
        <w:r w:rsidR="00647B14">
          <w:rPr>
            <w:noProof/>
          </w:rPr>
          <w:t>1</w:t>
        </w:r>
        <w:r w:rsidR="00317C60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E0C" w:rsidRDefault="004A7E0C" w:rsidP="00837EC7">
      <w:pPr>
        <w:spacing w:line="240" w:lineRule="auto"/>
      </w:pPr>
      <w:r>
        <w:separator/>
      </w:r>
    </w:p>
  </w:footnote>
  <w:footnote w:type="continuationSeparator" w:id="0">
    <w:p w:rsidR="004A7E0C" w:rsidRDefault="004A7E0C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Pr="00142DFA" w:rsidRDefault="004F3656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E43A6"/>
    <w:multiLevelType w:val="hybridMultilevel"/>
    <w:tmpl w:val="2E62B19C"/>
    <w:lvl w:ilvl="0" w:tplc="CAD041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01100A"/>
    <w:multiLevelType w:val="hybridMultilevel"/>
    <w:tmpl w:val="00C84F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1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4"/>
  </w:num>
  <w:num w:numId="12">
    <w:abstractNumId w:val="0"/>
  </w:num>
  <w:num w:numId="13">
    <w:abstractNumId w:val="1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511575"/>
    <w:rsid w:val="0004165F"/>
    <w:rsid w:val="000636E4"/>
    <w:rsid w:val="000A2A61"/>
    <w:rsid w:val="000A4B8B"/>
    <w:rsid w:val="00133562"/>
    <w:rsid w:val="00136172"/>
    <w:rsid w:val="00142DFA"/>
    <w:rsid w:val="00150AFA"/>
    <w:rsid w:val="00155F4E"/>
    <w:rsid w:val="001634E6"/>
    <w:rsid w:val="00163D87"/>
    <w:rsid w:val="00185133"/>
    <w:rsid w:val="001A71B9"/>
    <w:rsid w:val="001B043E"/>
    <w:rsid w:val="001C3197"/>
    <w:rsid w:val="001E2B12"/>
    <w:rsid w:val="001F319E"/>
    <w:rsid w:val="00202F49"/>
    <w:rsid w:val="00206E1F"/>
    <w:rsid w:val="0022363A"/>
    <w:rsid w:val="002348B8"/>
    <w:rsid w:val="00270DFC"/>
    <w:rsid w:val="002A04B8"/>
    <w:rsid w:val="002A2294"/>
    <w:rsid w:val="002B14FC"/>
    <w:rsid w:val="002D3F70"/>
    <w:rsid w:val="002D55C9"/>
    <w:rsid w:val="002E1682"/>
    <w:rsid w:val="002F3C8C"/>
    <w:rsid w:val="003008B2"/>
    <w:rsid w:val="00300E1A"/>
    <w:rsid w:val="00317C60"/>
    <w:rsid w:val="00321743"/>
    <w:rsid w:val="00334567"/>
    <w:rsid w:val="00363539"/>
    <w:rsid w:val="00381AB2"/>
    <w:rsid w:val="003F4234"/>
    <w:rsid w:val="0040115E"/>
    <w:rsid w:val="004072A0"/>
    <w:rsid w:val="00411347"/>
    <w:rsid w:val="00420481"/>
    <w:rsid w:val="00432230"/>
    <w:rsid w:val="00445672"/>
    <w:rsid w:val="0045370E"/>
    <w:rsid w:val="00467ABE"/>
    <w:rsid w:val="004851BE"/>
    <w:rsid w:val="0049671A"/>
    <w:rsid w:val="00496D76"/>
    <w:rsid w:val="004A7E0C"/>
    <w:rsid w:val="004C485B"/>
    <w:rsid w:val="004C5D31"/>
    <w:rsid w:val="004F3656"/>
    <w:rsid w:val="005052CB"/>
    <w:rsid w:val="00511575"/>
    <w:rsid w:val="00511B0C"/>
    <w:rsid w:val="00537A2A"/>
    <w:rsid w:val="0056620A"/>
    <w:rsid w:val="005960DF"/>
    <w:rsid w:val="005C16CC"/>
    <w:rsid w:val="005F1ACA"/>
    <w:rsid w:val="006240F3"/>
    <w:rsid w:val="006448AB"/>
    <w:rsid w:val="0064728A"/>
    <w:rsid w:val="00647B14"/>
    <w:rsid w:val="00677337"/>
    <w:rsid w:val="006A22F8"/>
    <w:rsid w:val="006A599E"/>
    <w:rsid w:val="006C713F"/>
    <w:rsid w:val="006D084A"/>
    <w:rsid w:val="006D5EEA"/>
    <w:rsid w:val="006D719E"/>
    <w:rsid w:val="006F0CF4"/>
    <w:rsid w:val="00701A96"/>
    <w:rsid w:val="007024FB"/>
    <w:rsid w:val="007357B6"/>
    <w:rsid w:val="007621DD"/>
    <w:rsid w:val="007C1D1C"/>
    <w:rsid w:val="007C32D6"/>
    <w:rsid w:val="007C3E2C"/>
    <w:rsid w:val="007D6BA1"/>
    <w:rsid w:val="00800BD6"/>
    <w:rsid w:val="008109AD"/>
    <w:rsid w:val="008119C5"/>
    <w:rsid w:val="00820851"/>
    <w:rsid w:val="008234F3"/>
    <w:rsid w:val="00825908"/>
    <w:rsid w:val="00826C8F"/>
    <w:rsid w:val="00837EC7"/>
    <w:rsid w:val="00840191"/>
    <w:rsid w:val="00843603"/>
    <w:rsid w:val="008A1768"/>
    <w:rsid w:val="008B1D49"/>
    <w:rsid w:val="008B6E6E"/>
    <w:rsid w:val="008E2ED1"/>
    <w:rsid w:val="008E7D45"/>
    <w:rsid w:val="008F78E6"/>
    <w:rsid w:val="00902A9F"/>
    <w:rsid w:val="0091016B"/>
    <w:rsid w:val="00937B60"/>
    <w:rsid w:val="0095558E"/>
    <w:rsid w:val="00971722"/>
    <w:rsid w:val="009906E1"/>
    <w:rsid w:val="00995474"/>
    <w:rsid w:val="009A1D85"/>
    <w:rsid w:val="009B046A"/>
    <w:rsid w:val="009B76C5"/>
    <w:rsid w:val="009F42E4"/>
    <w:rsid w:val="00A10B5A"/>
    <w:rsid w:val="00A20523"/>
    <w:rsid w:val="00A33121"/>
    <w:rsid w:val="00A34B67"/>
    <w:rsid w:val="00A366CC"/>
    <w:rsid w:val="00A57E9B"/>
    <w:rsid w:val="00A804F8"/>
    <w:rsid w:val="00A828A1"/>
    <w:rsid w:val="00A973E5"/>
    <w:rsid w:val="00A97DC4"/>
    <w:rsid w:val="00AB509B"/>
    <w:rsid w:val="00AD39E6"/>
    <w:rsid w:val="00AE2D84"/>
    <w:rsid w:val="00AE3A55"/>
    <w:rsid w:val="00AF5A5A"/>
    <w:rsid w:val="00B059E0"/>
    <w:rsid w:val="00B5237E"/>
    <w:rsid w:val="00B542E5"/>
    <w:rsid w:val="00B84CA4"/>
    <w:rsid w:val="00B94BD8"/>
    <w:rsid w:val="00BC2437"/>
    <w:rsid w:val="00BC763D"/>
    <w:rsid w:val="00BD7E76"/>
    <w:rsid w:val="00BE7704"/>
    <w:rsid w:val="00BF22FF"/>
    <w:rsid w:val="00BF2994"/>
    <w:rsid w:val="00BF4880"/>
    <w:rsid w:val="00C01D4F"/>
    <w:rsid w:val="00C16860"/>
    <w:rsid w:val="00C2144F"/>
    <w:rsid w:val="00C2632F"/>
    <w:rsid w:val="00C41B5E"/>
    <w:rsid w:val="00C47F23"/>
    <w:rsid w:val="00C6552D"/>
    <w:rsid w:val="00C752F4"/>
    <w:rsid w:val="00C94F0A"/>
    <w:rsid w:val="00CB3549"/>
    <w:rsid w:val="00CD087E"/>
    <w:rsid w:val="00D0707C"/>
    <w:rsid w:val="00D226DE"/>
    <w:rsid w:val="00D270BC"/>
    <w:rsid w:val="00D37099"/>
    <w:rsid w:val="00D41BE0"/>
    <w:rsid w:val="00D97A2C"/>
    <w:rsid w:val="00DC762A"/>
    <w:rsid w:val="00DD0C30"/>
    <w:rsid w:val="00DF308F"/>
    <w:rsid w:val="00E16A0E"/>
    <w:rsid w:val="00E16B27"/>
    <w:rsid w:val="00E579BF"/>
    <w:rsid w:val="00E72519"/>
    <w:rsid w:val="00E82787"/>
    <w:rsid w:val="00E84ADD"/>
    <w:rsid w:val="00E85DB9"/>
    <w:rsid w:val="00E86529"/>
    <w:rsid w:val="00EA4734"/>
    <w:rsid w:val="00EA5291"/>
    <w:rsid w:val="00EB070D"/>
    <w:rsid w:val="00EC1F75"/>
    <w:rsid w:val="00EC51CF"/>
    <w:rsid w:val="00EC68C4"/>
    <w:rsid w:val="00ED0EC3"/>
    <w:rsid w:val="00F17F92"/>
    <w:rsid w:val="00F2257F"/>
    <w:rsid w:val="00F372D1"/>
    <w:rsid w:val="00F5187C"/>
    <w:rsid w:val="00F72DCB"/>
    <w:rsid w:val="00F86862"/>
    <w:rsid w:val="00FA0BB9"/>
    <w:rsid w:val="00FA4445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2363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2363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2363A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2363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2363A"/>
    <w:rPr>
      <w:rFonts w:ascii="Arial" w:hAnsi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7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90CDE-17FC-4330-A1E3-61B7F2AB8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3</Pages>
  <Words>390</Words>
  <Characters>2458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2016-11-01T11:56:00Z</dcterms:created>
  <dcterms:modified xsi:type="dcterms:W3CDTF">2016-11-01T11:56:00Z</dcterms:modified>
</cp:coreProperties>
</file>