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D3F70" w:rsidRDefault="002D3F70" w:rsidP="00B94BD8">
      <w:pPr>
        <w:spacing w:after="120"/>
      </w:pPr>
      <w:r w:rsidRPr="008119C5">
        <w:t xml:space="preserve">Hinweis: Wünschenswert ist die Entwicklung von mehreren Aufgaben zu </w:t>
      </w:r>
      <w:r w:rsidRPr="008119C5">
        <w:rPr>
          <w:b/>
        </w:rPr>
        <w:t>einer</w:t>
      </w:r>
      <w:r w:rsidRPr="008119C5">
        <w:t xml:space="preserve"> Kompetenz, die die Progression der Standards (A</w:t>
      </w:r>
      <w:r w:rsidR="008119C5" w:rsidRPr="008119C5">
        <w:t xml:space="preserve"> – </w:t>
      </w:r>
      <w:r w:rsidRPr="008119C5">
        <w:t>H) abbilden.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282097" w:rsidP="00321743">
            <w:pPr>
              <w:spacing w:before="200" w:after="200"/>
            </w:pPr>
            <w:r>
              <w:t>Gesellschaftswissenschaften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282097" w:rsidP="00321743">
            <w:pPr>
              <w:spacing w:before="200" w:after="200"/>
            </w:pPr>
            <w:r>
              <w:t>Erschließen, politisch</w:t>
            </w:r>
            <w:r w:rsidR="00747176">
              <w:t xml:space="preserve"> </w:t>
            </w:r>
            <w:r w:rsidR="00747176" w:rsidRPr="00747176">
              <w:t>(GeWi-K3)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282097" w:rsidP="00321743">
            <w:pPr>
              <w:tabs>
                <w:tab w:val="left" w:pos="1373"/>
              </w:tabs>
              <w:spacing w:before="200" w:after="200"/>
            </w:pPr>
            <w:r w:rsidRPr="00282097">
              <w:t>Politische Phänomene der Lebensumwelt analysieren</w:t>
            </w:r>
            <w:r w:rsidR="00747176">
              <w:t xml:space="preserve"> </w:t>
            </w:r>
            <w:r w:rsidR="00747176" w:rsidRPr="00747176">
              <w:t>(GeWi-K3</w:t>
            </w:r>
            <w:r w:rsidR="00747176">
              <w:t>.2</w:t>
            </w:r>
            <w:r w:rsidR="00747176" w:rsidRPr="00747176">
              <w:t>)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282097" w:rsidP="00BE7704">
            <w:pPr>
              <w:tabs>
                <w:tab w:val="left" w:pos="1190"/>
              </w:tabs>
              <w:spacing w:before="200" w:after="200"/>
            </w:pPr>
            <w:r>
              <w:t>C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8E0ABA" w:rsidP="008E0ABA">
            <w:pPr>
              <w:pStyle w:val="Aufzhlung"/>
              <w:numPr>
                <w:ilvl w:val="0"/>
                <w:numId w:val="0"/>
              </w:numPr>
              <w:ind w:left="57"/>
            </w:pPr>
            <w:r w:rsidRPr="00AD0CD7">
              <w:t xml:space="preserve">Die </w:t>
            </w:r>
            <w:r>
              <w:t xml:space="preserve">Schülerinnen und Schüler können </w:t>
            </w:r>
            <w:r w:rsidR="00747176" w:rsidRPr="00747176">
              <w:rPr>
                <w:szCs w:val="20"/>
              </w:rPr>
              <w:t>für Problemlagen, En</w:t>
            </w:r>
            <w:r w:rsidR="00747176" w:rsidRPr="00747176">
              <w:rPr>
                <w:szCs w:val="20"/>
              </w:rPr>
              <w:t>t</w:t>
            </w:r>
            <w:r w:rsidR="00747176" w:rsidRPr="00747176">
              <w:rPr>
                <w:szCs w:val="20"/>
              </w:rPr>
              <w:t>scheidungen und Kontroversen die beteiligten Akteure und Perspektiven benennen</w:t>
            </w:r>
            <w:r w:rsidR="0075698F">
              <w:rPr>
                <w:szCs w:val="20"/>
              </w:rPr>
              <w:t xml:space="preserve"> (</w:t>
            </w:r>
            <w:r w:rsidR="0075698F" w:rsidRPr="00747176">
              <w:t>GeWi-K3</w:t>
            </w:r>
            <w:r w:rsidR="0075698F">
              <w:t>.2.C)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C17F37" w:rsidRDefault="00F97F64" w:rsidP="00C17F37">
            <w:pPr>
              <w:tabs>
                <w:tab w:val="left" w:pos="1190"/>
              </w:tabs>
              <w:spacing w:before="200" w:after="200"/>
            </w:pPr>
            <w:bookmarkStart w:id="0" w:name="_Toc424879056"/>
            <w:r>
              <w:t xml:space="preserve">3.3 </w:t>
            </w:r>
            <w:r w:rsidR="00C17F37" w:rsidRPr="00913465">
              <w:t>Stadt und städtische Vielfalt – Gewinn oder ein Problem?</w:t>
            </w:r>
            <w:bookmarkEnd w:id="0"/>
            <w:r w:rsidR="00C17F37">
              <w:t xml:space="preserve"> </w:t>
            </w:r>
          </w:p>
          <w:p w:rsidR="00B94BD8" w:rsidRPr="00202F49" w:rsidRDefault="00C17F37" w:rsidP="00C17F37">
            <w:pPr>
              <w:tabs>
                <w:tab w:val="left" w:pos="1190"/>
              </w:tabs>
              <w:spacing w:before="200" w:after="200"/>
            </w:pPr>
            <w:r>
              <w:t>Thema: Städtische Siedlungen heute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7E732F" w:rsidP="00321743">
            <w:pPr>
              <w:tabs>
                <w:tab w:val="left" w:pos="1190"/>
              </w:tabs>
              <w:spacing w:before="200" w:after="200"/>
            </w:pPr>
            <w:r>
              <w:t>DEM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DA42CF" w:rsidP="00321743">
            <w:pPr>
              <w:tabs>
                <w:tab w:val="left" w:pos="1190"/>
              </w:tabs>
              <w:spacing w:before="200" w:after="200"/>
            </w:pPr>
            <w:r w:rsidRPr="00DA42CF">
              <w:rPr>
                <w:rFonts w:eastAsia="Arial Unicode MS" w:cs="Arial"/>
                <w:color w:val="000000"/>
                <w:szCs w:val="20"/>
                <w:lang w:eastAsia="de-DE"/>
              </w:rPr>
              <w:t>SB-K2.1</w:t>
            </w:r>
            <w:r>
              <w:rPr>
                <w:rFonts w:eastAsia="Arial Unicode MS" w:cs="Arial"/>
                <w:color w:val="000000"/>
                <w:szCs w:val="20"/>
                <w:lang w:eastAsia="de-DE"/>
              </w:rPr>
              <w:t>.D.1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95675" w:rsidRDefault="00F17F92" w:rsidP="006D084A">
            <w:pPr>
              <w:tabs>
                <w:tab w:val="left" w:pos="840"/>
              </w:tabs>
              <w:spacing w:before="200" w:after="200"/>
            </w:pPr>
            <w:bookmarkStart w:id="1" w:name="_GoBack" w:colFirst="0" w:colLast="2"/>
            <w:r w:rsidRPr="00895675">
              <w:t>offen</w:t>
            </w:r>
            <w:r w:rsidR="00334567" w:rsidRPr="00895675">
              <w:rPr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95675" w:rsidRDefault="00F17F92" w:rsidP="006D084A">
            <w:pPr>
              <w:spacing w:before="200" w:after="200"/>
            </w:pPr>
            <w:r w:rsidRPr="00895675">
              <w:t>halboffen</w:t>
            </w:r>
            <w:r w:rsidR="00334567" w:rsidRPr="00895675"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95675" w:rsidRDefault="00F17F92" w:rsidP="006D084A">
            <w:pPr>
              <w:tabs>
                <w:tab w:val="left" w:pos="1735"/>
              </w:tabs>
              <w:spacing w:before="200" w:after="200"/>
            </w:pPr>
            <w:r w:rsidRPr="00895675">
              <w:t>geschlossen</w:t>
            </w:r>
            <w:r w:rsidR="00334567" w:rsidRPr="00895675">
              <w:tab/>
            </w:r>
            <w:r w:rsidR="008E0ABA" w:rsidRPr="00895675">
              <w:t>x</w:t>
            </w:r>
          </w:p>
        </w:tc>
      </w:tr>
      <w:bookmarkEnd w:id="1"/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C17F37" w:rsidP="00C17F37">
            <w:pPr>
              <w:spacing w:before="200" w:after="200"/>
            </w:pPr>
            <w:r>
              <w:t>Stadt, Bebauung, Naturschutz, Interessenkonflikt</w:t>
            </w:r>
            <w:r w:rsidR="00451605">
              <w:t>, Volksbege</w:t>
            </w:r>
            <w:r w:rsidR="00451605">
              <w:t>h</w:t>
            </w:r>
            <w:r w:rsidR="00451605">
              <w:t>ren, Volksentscheid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282097" w:rsidRPr="00282097" w:rsidRDefault="00282097" w:rsidP="00282097">
      <w:pPr>
        <w:spacing w:before="60" w:after="60"/>
        <w:rPr>
          <w:b/>
        </w:rPr>
      </w:pPr>
    </w:p>
    <w:p w:rsidR="00DA42CF" w:rsidRDefault="00DA42CF" w:rsidP="00282097">
      <w:pPr>
        <w:spacing w:before="60" w:after="60"/>
        <w:rPr>
          <w:b/>
        </w:rPr>
      </w:pPr>
      <w:r>
        <w:rPr>
          <w:b/>
        </w:rPr>
        <w:t>Aufgabe:</w:t>
      </w:r>
    </w:p>
    <w:p w:rsidR="00282097" w:rsidRPr="00A81D2D" w:rsidRDefault="00282097" w:rsidP="00282097">
      <w:pPr>
        <w:spacing w:before="60" w:after="60"/>
      </w:pPr>
      <w:r w:rsidRPr="00A81D2D">
        <w:t xml:space="preserve">Eine </w:t>
      </w:r>
      <w:r w:rsidR="0002294B" w:rsidRPr="00A81D2D">
        <w:t xml:space="preserve">Berliner </w:t>
      </w:r>
      <w:r w:rsidRPr="00A81D2D">
        <w:t xml:space="preserve">Zeitung berichtet über die Zukunft des Tempelhofer Feldes in Berlin. </w:t>
      </w:r>
      <w:r w:rsidR="00067296" w:rsidRPr="00A81D2D">
        <w:t>Soll es teilweise bebaut werden oder nicht?</w:t>
      </w:r>
    </w:p>
    <w:p w:rsidR="00282097" w:rsidRPr="00A81D2D" w:rsidRDefault="00A81D2D" w:rsidP="00282097">
      <w:pPr>
        <w:spacing w:before="60" w:after="60"/>
      </w:pPr>
      <w:r>
        <w:t>Im Text findest du verschiedene Positionen zur Zukunft des T</w:t>
      </w:r>
      <w:r w:rsidR="00282097" w:rsidRPr="00A81D2D">
        <w:t>empelhofer Fel</w:t>
      </w:r>
      <w:r w:rsidR="00FC2E10" w:rsidRPr="00A81D2D">
        <w:t>des</w:t>
      </w:r>
      <w:r>
        <w:t>:</w:t>
      </w:r>
    </w:p>
    <w:p w:rsidR="00282097" w:rsidRPr="00A81D2D" w:rsidRDefault="00282097" w:rsidP="00282097">
      <w:pPr>
        <w:spacing w:before="60" w:after="60"/>
        <w:ind w:firstLine="708"/>
      </w:pPr>
      <w:r w:rsidRPr="00A81D2D">
        <w:t xml:space="preserve">A) </w:t>
      </w:r>
      <w:r w:rsidR="00A81D2D">
        <w:t>vom</w:t>
      </w:r>
      <w:r w:rsidRPr="00A81D2D">
        <w:t xml:space="preserve"> Berliner Senat</w:t>
      </w:r>
    </w:p>
    <w:p w:rsidR="00282097" w:rsidRPr="00A81D2D" w:rsidRDefault="00282097" w:rsidP="00282097">
      <w:pPr>
        <w:spacing w:before="60" w:after="60"/>
        <w:ind w:firstLine="708"/>
      </w:pPr>
      <w:r w:rsidRPr="00A81D2D">
        <w:t xml:space="preserve">B) </w:t>
      </w:r>
      <w:r w:rsidR="00C45B4C">
        <w:t>von</w:t>
      </w:r>
      <w:r w:rsidR="000D7197">
        <w:t xml:space="preserve"> ..........................................................</w:t>
      </w:r>
    </w:p>
    <w:p w:rsidR="000D7197" w:rsidRDefault="000D7197" w:rsidP="00282097">
      <w:pPr>
        <w:spacing w:before="60" w:after="60"/>
      </w:pPr>
    </w:p>
    <w:p w:rsidR="008E0ABA" w:rsidRDefault="00CB5593" w:rsidP="00282097">
      <w:pPr>
        <w:spacing w:before="60" w:after="60"/>
      </w:pPr>
      <w:r>
        <w:t>Trage den</w:t>
      </w:r>
      <w:r w:rsidR="000D7197">
        <w:t xml:space="preserve"> fehlenden Meinungsträger ein</w:t>
      </w:r>
      <w:r w:rsidR="006E18A3">
        <w:t>!</w:t>
      </w:r>
      <w:r w:rsidR="000D7197">
        <w:t xml:space="preserve"> </w:t>
      </w:r>
      <w:r w:rsidR="006E18A3">
        <w:t>U</w:t>
      </w:r>
      <w:r w:rsidR="00A81D2D">
        <w:t>nterstreiche für jede Position mindestens ein</w:t>
      </w:r>
      <w:r>
        <w:t xml:space="preserve"> Argument! (A = blau, B = grün</w:t>
      </w:r>
      <w:r w:rsidR="00A81D2D">
        <w:t>)</w:t>
      </w:r>
    </w:p>
    <w:p w:rsidR="00A81D2D" w:rsidRPr="00A81D2D" w:rsidRDefault="00A81D2D" w:rsidP="00282097">
      <w:pPr>
        <w:spacing w:before="60" w:after="60"/>
      </w:pPr>
    </w:p>
    <w:p w:rsidR="00282097" w:rsidRPr="00A425A8" w:rsidRDefault="00282097" w:rsidP="00282097">
      <w:pPr>
        <w:spacing w:before="60" w:after="60"/>
        <w:rPr>
          <w:b/>
        </w:rPr>
      </w:pPr>
      <w:r w:rsidRPr="00A425A8">
        <w:rPr>
          <w:b/>
        </w:rPr>
        <w:t>Material:</w:t>
      </w:r>
    </w:p>
    <w:p w:rsidR="00282097" w:rsidRPr="00A425A8" w:rsidRDefault="00282097" w:rsidP="00282097">
      <w:pPr>
        <w:spacing w:before="60" w:after="60"/>
      </w:pPr>
      <w:r w:rsidRPr="00A425A8">
        <w:t xml:space="preserve">Das Tempelhofer Feld </w:t>
      </w:r>
      <w:r w:rsidR="0036330C">
        <w:t>–</w:t>
      </w:r>
      <w:r w:rsidRPr="00A425A8">
        <w:t xml:space="preserve"> Wohnraum oder Erholungsgebiet?</w:t>
      </w:r>
    </w:p>
    <w:p w:rsidR="008E0ABA" w:rsidRPr="00A425A8" w:rsidRDefault="00282097" w:rsidP="008E0ABA">
      <w:pPr>
        <w:spacing w:before="60" w:after="60"/>
      </w:pPr>
      <w:r w:rsidRPr="00A425A8">
        <w:t>In Berlin werden von 2013 bis 2025 rund 122</w:t>
      </w:r>
      <w:r w:rsidR="0036330C">
        <w:t>.</w:t>
      </w:r>
      <w:r w:rsidRPr="00A425A8">
        <w:t>000 neue Wohnungen benötigt, weil die Zahl der Einwohner weiter wächst</w:t>
      </w:r>
      <w:r w:rsidR="008E0ABA" w:rsidRPr="00A425A8">
        <w:t>.</w:t>
      </w:r>
      <w:r w:rsidRPr="00A425A8">
        <w:t xml:space="preserve"> </w:t>
      </w:r>
      <w:r w:rsidR="00B137D8" w:rsidRPr="00A425A8">
        <w:t>D</w:t>
      </w:r>
      <w:r w:rsidR="008E0ABA" w:rsidRPr="00A425A8">
        <w:t xml:space="preserve">er Berliner Senat </w:t>
      </w:r>
      <w:r w:rsidR="00B137D8" w:rsidRPr="00A425A8">
        <w:t xml:space="preserve">plant die Ränder des Tempelhofer Feldes </w:t>
      </w:r>
      <w:r w:rsidR="00E45566" w:rsidRPr="00A425A8">
        <w:t xml:space="preserve">zu </w:t>
      </w:r>
      <w:r w:rsidR="00B137D8" w:rsidRPr="00A425A8">
        <w:t>bebauen.</w:t>
      </w:r>
      <w:r w:rsidR="00E45566" w:rsidRPr="00A425A8">
        <w:t xml:space="preserve"> </w:t>
      </w:r>
      <w:r w:rsidR="008E0ABA" w:rsidRPr="00A425A8">
        <w:t>4</w:t>
      </w:r>
      <w:r w:rsidR="0036330C">
        <w:t>.</w:t>
      </w:r>
      <w:r w:rsidR="008E0ABA" w:rsidRPr="00A425A8">
        <w:t>700 Wohnungen und ein Neubau für die Zentral- und Landesbibliothek</w:t>
      </w:r>
      <w:r w:rsidR="00E45566" w:rsidRPr="00A425A8">
        <w:t xml:space="preserve"> sollen hier entstehen</w:t>
      </w:r>
      <w:r w:rsidR="008E0ABA" w:rsidRPr="00A425A8">
        <w:t xml:space="preserve">. Auch Firmen </w:t>
      </w:r>
      <w:r w:rsidR="00E45566" w:rsidRPr="00A425A8">
        <w:t xml:space="preserve">sollen </w:t>
      </w:r>
      <w:r w:rsidR="00A437CB" w:rsidRPr="00A425A8">
        <w:t>Bauf</w:t>
      </w:r>
      <w:r w:rsidR="00E45566" w:rsidRPr="00A425A8">
        <w:t>lächen erhalten</w:t>
      </w:r>
      <w:r w:rsidR="00067296" w:rsidRPr="00A425A8">
        <w:t>, damit neue Arbeitsplätze entstehen.</w:t>
      </w:r>
    </w:p>
    <w:p w:rsidR="00282097" w:rsidRPr="00A425A8" w:rsidRDefault="00E45566" w:rsidP="0036330C">
      <w:pPr>
        <w:spacing w:before="60" w:after="60"/>
      </w:pPr>
      <w:r w:rsidRPr="00A425A8">
        <w:t>D</w:t>
      </w:r>
      <w:r w:rsidR="00282097" w:rsidRPr="00A425A8">
        <w:t>och nun formiert sich Widerstand gegen die umfangreichen Bauplä</w:t>
      </w:r>
      <w:r w:rsidRPr="00A425A8">
        <w:t>ne des Senats.</w:t>
      </w:r>
      <w:r w:rsidR="0036330C">
        <w:t xml:space="preserve"> </w:t>
      </w:r>
      <w:r w:rsidR="00282097" w:rsidRPr="00A425A8">
        <w:t xml:space="preserve">Eine Bürgerinitiative will das </w:t>
      </w:r>
      <w:r w:rsidR="0036330C">
        <w:t>„</w:t>
      </w:r>
      <w:r w:rsidR="00282097" w:rsidRPr="00A425A8">
        <w:t>grüne Juwel” Berlins für Jogger, Skater, Radfahrer, Drachenflieger, Picknicker und Naturfreunde bewahren. Per Volksbegehren und Volksentscheid versucht sie jede Bebauung zu verhindern.</w:t>
      </w:r>
    </w:p>
    <w:p w:rsidR="00282097" w:rsidRPr="00A425A8" w:rsidRDefault="00282097" w:rsidP="00282097">
      <w:pPr>
        <w:spacing w:before="60" w:after="60"/>
      </w:pPr>
    </w:p>
    <w:p w:rsidR="00282097" w:rsidRPr="00A425A8" w:rsidRDefault="0036330C" w:rsidP="00282097">
      <w:pPr>
        <w:spacing w:before="60" w:after="60"/>
      </w:pPr>
      <w:r>
        <w:t>n</w:t>
      </w:r>
      <w:r w:rsidR="00282097" w:rsidRPr="00A425A8">
        <w:t>ach Ulrich Paul vom 03.05.2013 und 29.11.2013 in der Berliner Zeitung, gekürzt und verei</w:t>
      </w:r>
      <w:r w:rsidR="00282097" w:rsidRPr="00A425A8">
        <w:t>n</w:t>
      </w:r>
      <w:r w:rsidR="00282097" w:rsidRPr="00A425A8">
        <w:t>facht (</w:t>
      </w:r>
      <w:r>
        <w:t>v</w:t>
      </w:r>
      <w:r w:rsidR="00282097" w:rsidRPr="00A425A8">
        <w:t>gl. Link</w:t>
      </w:r>
      <w:r>
        <w:t>s</w:t>
      </w:r>
      <w:r w:rsidR="009200BB" w:rsidRPr="00A425A8">
        <w:t xml:space="preserve"> </w:t>
      </w:r>
      <w:r w:rsidR="00282097" w:rsidRPr="00A425A8">
        <w:t>1</w:t>
      </w:r>
      <w:r w:rsidR="003D2015" w:rsidRPr="00A425A8">
        <w:t xml:space="preserve"> </w:t>
      </w:r>
      <w:r w:rsidR="00282097" w:rsidRPr="00A425A8">
        <w:t>+</w:t>
      </w:r>
      <w:r w:rsidR="003D2015" w:rsidRPr="00A425A8">
        <w:t xml:space="preserve"> </w:t>
      </w:r>
      <w:r w:rsidR="00282097" w:rsidRPr="00A425A8">
        <w:t>2)</w:t>
      </w:r>
    </w:p>
    <w:p w:rsidR="006D084A" w:rsidRDefault="006D084A" w:rsidP="00BF22FF">
      <w:pPr>
        <w:spacing w:before="60" w:after="60"/>
      </w:pPr>
    </w:p>
    <w:p w:rsidR="00BE55F8" w:rsidRDefault="00BE55F8" w:rsidP="00BF22FF">
      <w:pPr>
        <w:spacing w:before="60" w:after="60"/>
      </w:pPr>
    </w:p>
    <w:p w:rsidR="00BE55F8" w:rsidRDefault="00BE55F8" w:rsidP="00BF22FF">
      <w:pPr>
        <w:spacing w:before="60" w:after="60"/>
      </w:pPr>
    </w:p>
    <w:p w:rsidR="00BE55F8" w:rsidRDefault="00BE55F8" w:rsidP="00BF22FF">
      <w:pPr>
        <w:spacing w:before="60" w:after="60"/>
      </w:pPr>
    </w:p>
    <w:p w:rsidR="00BE55F8" w:rsidRDefault="00BE55F8" w:rsidP="00BF22FF">
      <w:pPr>
        <w:spacing w:before="60" w:after="60"/>
      </w:pPr>
    </w:p>
    <w:p w:rsidR="00BE55F8" w:rsidRDefault="00BE55F8" w:rsidP="00BF22FF">
      <w:pPr>
        <w:spacing w:before="60" w:after="60"/>
      </w:pPr>
    </w:p>
    <w:p w:rsidR="00BE55F8" w:rsidRDefault="00BE55F8" w:rsidP="00BF22FF">
      <w:pPr>
        <w:spacing w:before="60" w:after="60"/>
      </w:pPr>
    </w:p>
    <w:p w:rsidR="00BE55F8" w:rsidRDefault="00BE55F8" w:rsidP="00BF22FF">
      <w:pPr>
        <w:spacing w:before="60" w:after="60"/>
      </w:pPr>
    </w:p>
    <w:p w:rsidR="00D07D30" w:rsidRDefault="00D07D30" w:rsidP="00BF22FF">
      <w:pPr>
        <w:spacing w:before="60" w:after="60"/>
      </w:pPr>
    </w:p>
    <w:p w:rsidR="00BE55F8" w:rsidRDefault="00BE55F8" w:rsidP="00BF22FF">
      <w:pPr>
        <w:spacing w:before="60" w:after="60"/>
      </w:pPr>
    </w:p>
    <w:p w:rsidR="00D07D30" w:rsidRDefault="00D07D30" w:rsidP="00BF22FF">
      <w:pPr>
        <w:spacing w:before="60" w:after="60"/>
      </w:pPr>
    </w:p>
    <w:p w:rsidR="00D07D30" w:rsidRDefault="00D07D30" w:rsidP="00BF22FF">
      <w:pPr>
        <w:spacing w:before="60" w:after="60"/>
      </w:pPr>
    </w:p>
    <w:p w:rsidR="00282097" w:rsidRPr="00D07D30" w:rsidRDefault="00D07D30" w:rsidP="00282097">
      <w:pPr>
        <w:spacing w:before="60" w:after="60"/>
        <w:rPr>
          <w:lang w:val="en-US"/>
        </w:rPr>
      </w:pPr>
      <w:r>
        <w:rPr>
          <w:b/>
          <w:noProof/>
          <w:lang w:eastAsia="de-DE"/>
        </w:rPr>
        <w:drawing>
          <wp:inline distT="0" distB="0" distL="0" distR="0">
            <wp:extent cx="1225550" cy="431800"/>
            <wp:effectExtent l="19050" t="0" r="0" b="0"/>
            <wp:docPr id="4" name="Bild 2" descr="G:\Publikationsteam\Schulz\standardillustrierende Aufgaben\by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ublikationsteam\Schulz\standardillustrierende Aufgaben\by-sa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7D30">
        <w:rPr>
          <w:b/>
          <w:lang w:val="en-US"/>
        </w:rPr>
        <w:t xml:space="preserve"> </w:t>
      </w:r>
      <w:r w:rsidRPr="00D07D30">
        <w:rPr>
          <w:lang w:val="en-US"/>
        </w:rPr>
        <w:t>LISUM</w:t>
      </w:r>
    </w:p>
    <w:p w:rsidR="00282097" w:rsidRPr="00BE55F8" w:rsidRDefault="00BE55F8" w:rsidP="00282097">
      <w:pPr>
        <w:spacing w:before="60" w:after="60"/>
        <w:rPr>
          <w:sz w:val="16"/>
          <w:szCs w:val="16"/>
          <w:lang w:val="en-US"/>
        </w:rPr>
      </w:pPr>
      <w:r w:rsidRPr="0036330C">
        <w:rPr>
          <w:sz w:val="16"/>
          <w:szCs w:val="16"/>
          <w:lang w:val="en-US"/>
        </w:rPr>
        <w:t>Link</w:t>
      </w:r>
      <w:r w:rsidR="0036330C">
        <w:rPr>
          <w:sz w:val="16"/>
          <w:szCs w:val="16"/>
          <w:lang w:val="en-US"/>
        </w:rPr>
        <w:t xml:space="preserve"> </w:t>
      </w:r>
      <w:r w:rsidRPr="0036330C">
        <w:rPr>
          <w:sz w:val="16"/>
          <w:szCs w:val="16"/>
          <w:lang w:val="en-US"/>
        </w:rPr>
        <w:t>1:</w:t>
      </w:r>
      <w:r w:rsidR="00D07D30">
        <w:rPr>
          <w:sz w:val="16"/>
          <w:szCs w:val="16"/>
          <w:lang w:val="en-US"/>
        </w:rPr>
        <w:t xml:space="preserve"> </w:t>
      </w:r>
      <w:hyperlink r:id="rId11" w:history="1">
        <w:r w:rsidR="009200BB" w:rsidRPr="00BE55F8">
          <w:rPr>
            <w:rStyle w:val="Hyperlink"/>
            <w:sz w:val="16"/>
            <w:szCs w:val="16"/>
            <w:lang w:val="en-US"/>
          </w:rPr>
          <w:t>http://www.berliner-zeitung.de/tempelhofer-feld/wohnungsbau-in-berlin-das-tempelhofer-feld-soll-frei-bleiben,22786336,22664510.html</w:t>
        </w:r>
      </w:hyperlink>
      <w:r w:rsidR="000E454E" w:rsidRPr="00BE55F8">
        <w:rPr>
          <w:sz w:val="16"/>
          <w:szCs w:val="16"/>
          <w:lang w:val="en-US"/>
        </w:rPr>
        <w:t xml:space="preserve"> (20.7.2015)</w:t>
      </w:r>
      <w:r w:rsidRPr="00BE55F8">
        <w:rPr>
          <w:sz w:val="16"/>
          <w:szCs w:val="16"/>
          <w:lang w:val="en-US"/>
        </w:rPr>
        <w:t xml:space="preserve"> CC BY SA 3.0 de</w:t>
      </w:r>
    </w:p>
    <w:p w:rsidR="00937B60" w:rsidRPr="00BE55F8" w:rsidRDefault="00282097" w:rsidP="00D07D30">
      <w:pPr>
        <w:spacing w:before="60" w:after="60"/>
        <w:rPr>
          <w:b/>
          <w:lang w:val="en-US"/>
        </w:rPr>
      </w:pPr>
      <w:r w:rsidRPr="0036330C">
        <w:rPr>
          <w:sz w:val="16"/>
          <w:szCs w:val="16"/>
          <w:lang w:val="en-US"/>
        </w:rPr>
        <w:t>Link</w:t>
      </w:r>
      <w:r w:rsidR="0036330C">
        <w:rPr>
          <w:sz w:val="16"/>
          <w:szCs w:val="16"/>
          <w:lang w:val="en-US"/>
        </w:rPr>
        <w:t xml:space="preserve"> </w:t>
      </w:r>
      <w:r w:rsidRPr="0036330C">
        <w:rPr>
          <w:sz w:val="16"/>
          <w:szCs w:val="16"/>
          <w:lang w:val="en-US"/>
        </w:rPr>
        <w:t>2:</w:t>
      </w:r>
      <w:r w:rsidR="00D07D30">
        <w:rPr>
          <w:sz w:val="16"/>
          <w:szCs w:val="16"/>
          <w:lang w:val="en-US"/>
        </w:rPr>
        <w:t xml:space="preserve"> </w:t>
      </w:r>
      <w:hyperlink r:id="rId12" w:history="1">
        <w:r w:rsidR="009200BB" w:rsidRPr="00BE55F8">
          <w:rPr>
            <w:rStyle w:val="Hyperlink"/>
            <w:sz w:val="16"/>
            <w:szCs w:val="16"/>
            <w:lang w:val="en-US"/>
          </w:rPr>
          <w:t>http://www.berliner-zeitung.de/berlin/wohnen-auf-dem-tempelhofer-feld-mehrheit-will-wohnungen-auf-dem-tempelhofer-feld,10809148,25468876.html</w:t>
        </w:r>
      </w:hyperlink>
      <w:r w:rsidR="009200BB" w:rsidRPr="00BE55F8">
        <w:rPr>
          <w:sz w:val="16"/>
          <w:szCs w:val="16"/>
          <w:lang w:val="en-US"/>
        </w:rPr>
        <w:t xml:space="preserve"> </w:t>
      </w:r>
      <w:r w:rsidR="000E454E" w:rsidRPr="00BE55F8">
        <w:rPr>
          <w:sz w:val="16"/>
          <w:szCs w:val="16"/>
          <w:lang w:val="en-US"/>
        </w:rPr>
        <w:t>(20.7.2015)</w:t>
      </w:r>
      <w:r w:rsidR="00BE55F8" w:rsidRPr="00BE55F8">
        <w:rPr>
          <w:sz w:val="16"/>
          <w:szCs w:val="16"/>
          <w:lang w:val="en-US"/>
        </w:rPr>
        <w:t xml:space="preserve"> CC BY SA 3.0 de</w:t>
      </w:r>
      <w:r w:rsidR="00937B60" w:rsidRPr="00BE55F8">
        <w:rPr>
          <w:b/>
          <w:lang w:val="en-US"/>
        </w:rPr>
        <w:br w:type="page"/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C16860" w:rsidRDefault="00C16860" w:rsidP="00BF22FF">
      <w:pPr>
        <w:spacing w:before="60" w:after="60"/>
        <w:rPr>
          <w:b/>
        </w:rPr>
      </w:pPr>
    </w:p>
    <w:p w:rsidR="00C45B4C" w:rsidRPr="00A81D2D" w:rsidRDefault="00C45B4C" w:rsidP="00C45B4C">
      <w:pPr>
        <w:spacing w:before="60" w:after="60"/>
      </w:pPr>
      <w:r>
        <w:t>Im Text findest du verschiedene Positionen zur Zukunft des T</w:t>
      </w:r>
      <w:r w:rsidRPr="00A81D2D">
        <w:t>empelhofer Feldes</w:t>
      </w:r>
      <w:r>
        <w:t>:</w:t>
      </w:r>
    </w:p>
    <w:p w:rsidR="00C45B4C" w:rsidRPr="00A81D2D" w:rsidRDefault="00C45B4C" w:rsidP="00C45B4C">
      <w:pPr>
        <w:spacing w:before="60" w:after="60"/>
        <w:ind w:firstLine="708"/>
      </w:pPr>
      <w:r w:rsidRPr="00A81D2D">
        <w:t xml:space="preserve">A) </w:t>
      </w:r>
      <w:r>
        <w:t>vom</w:t>
      </w:r>
      <w:r w:rsidRPr="00A81D2D">
        <w:t xml:space="preserve"> Berliner Senat</w:t>
      </w:r>
    </w:p>
    <w:p w:rsidR="00C45B4C" w:rsidRPr="00A81D2D" w:rsidRDefault="00C45B4C" w:rsidP="00C45B4C">
      <w:pPr>
        <w:spacing w:before="60" w:after="60"/>
        <w:ind w:firstLine="708"/>
      </w:pPr>
      <w:r w:rsidRPr="00A81D2D">
        <w:t xml:space="preserve">B) </w:t>
      </w:r>
      <w:r>
        <w:t>von …</w:t>
      </w:r>
      <w:r w:rsidR="0036330C">
        <w:t xml:space="preserve"> </w:t>
      </w:r>
      <w:r>
        <w:t>einer Bürgerinitiative</w:t>
      </w:r>
      <w:r w:rsidR="0036330C">
        <w:t xml:space="preserve"> </w:t>
      </w:r>
      <w:r>
        <w:t>...</w:t>
      </w:r>
    </w:p>
    <w:p w:rsidR="000D7197" w:rsidRDefault="000D7197" w:rsidP="00A81D2D">
      <w:pPr>
        <w:spacing w:before="60" w:after="60"/>
      </w:pPr>
    </w:p>
    <w:p w:rsidR="00A81D2D" w:rsidRPr="00A425A8" w:rsidRDefault="00A81D2D" w:rsidP="00A81D2D">
      <w:pPr>
        <w:spacing w:before="60" w:after="60"/>
      </w:pPr>
      <w:r w:rsidRPr="00A425A8">
        <w:t xml:space="preserve">Das Tempelhofer Feld </w:t>
      </w:r>
      <w:r w:rsidR="0036330C">
        <w:t>–</w:t>
      </w:r>
      <w:r w:rsidRPr="00A425A8">
        <w:t xml:space="preserve"> Wohnraum oder Erholungsgebiet?</w:t>
      </w:r>
    </w:p>
    <w:p w:rsidR="00A81D2D" w:rsidRPr="00A425A8" w:rsidRDefault="00A81D2D" w:rsidP="00A81D2D">
      <w:pPr>
        <w:spacing w:before="60" w:after="60"/>
      </w:pPr>
      <w:r w:rsidRPr="00A425A8">
        <w:t>In Berlin werden von 2013 bis 2025 rund 122</w:t>
      </w:r>
      <w:r w:rsidR="0036330C">
        <w:t>.</w:t>
      </w:r>
      <w:r w:rsidRPr="00A425A8">
        <w:t xml:space="preserve">000 neue Wohnungen benötigt, weil die Zahl der Einwohner weiter wächst. </w:t>
      </w:r>
      <w:r w:rsidRPr="00316AAC">
        <w:t xml:space="preserve">Der Berliner Senat plant die Ränder des Tempelhofer Feldes zu bebauen. </w:t>
      </w:r>
      <w:r w:rsidRPr="00231319">
        <w:rPr>
          <w:color w:val="3366FF"/>
          <w:u w:val="single"/>
        </w:rPr>
        <w:t>4</w:t>
      </w:r>
      <w:r w:rsidR="0036330C">
        <w:rPr>
          <w:color w:val="3366FF"/>
          <w:u w:val="single"/>
        </w:rPr>
        <w:t>.</w:t>
      </w:r>
      <w:r w:rsidRPr="00231319">
        <w:rPr>
          <w:color w:val="3366FF"/>
          <w:u w:val="single"/>
        </w:rPr>
        <w:t>700 Wohnungen und ein Neubau für die Zentral- und Landesbibliothek sollen hier entstehen. Auch Firmen sollen Bauflächen erhalten, damit neue Arbeitsplätze entstehen.</w:t>
      </w:r>
    </w:p>
    <w:p w:rsidR="00A81D2D" w:rsidRPr="00316AAC" w:rsidRDefault="00A81D2D" w:rsidP="00A81D2D">
      <w:pPr>
        <w:spacing w:before="60" w:after="60"/>
      </w:pPr>
      <w:r w:rsidRPr="00A425A8">
        <w:t>Doch nun formiert sich Widerstand gegen die umfangreichen Baupläne des Senats.</w:t>
      </w:r>
      <w:r w:rsidR="0036330C">
        <w:t xml:space="preserve"> </w:t>
      </w:r>
      <w:r w:rsidRPr="00CB5593">
        <w:rPr>
          <w:color w:val="00B050"/>
          <w:u w:val="single"/>
        </w:rPr>
        <w:t xml:space="preserve">Eine Bürgerinitiative will das </w:t>
      </w:r>
      <w:r w:rsidR="0036330C">
        <w:rPr>
          <w:color w:val="00B050"/>
          <w:u w:val="single"/>
        </w:rPr>
        <w:t>„</w:t>
      </w:r>
      <w:r w:rsidRPr="00CB5593">
        <w:rPr>
          <w:color w:val="00B050"/>
          <w:u w:val="single"/>
        </w:rPr>
        <w:t>grüne Juwel” Berlins für Jogger, Skater, Radfahrer, Drachenflieger, Picknicker und Naturfreunde bewahren.</w:t>
      </w:r>
      <w:r w:rsidRPr="00CB5593">
        <w:t xml:space="preserve"> </w:t>
      </w:r>
      <w:r w:rsidRPr="00316AAC">
        <w:t>Per Volksbegehren und Volksentscheid versucht sie jede Bebauung zu verhindern.</w:t>
      </w:r>
    </w:p>
    <w:p w:rsidR="00A81D2D" w:rsidRPr="00A425A8" w:rsidRDefault="00A81D2D" w:rsidP="00A81D2D">
      <w:pPr>
        <w:spacing w:before="60" w:after="60"/>
      </w:pPr>
    </w:p>
    <w:p w:rsidR="00A81D2D" w:rsidRDefault="0036330C" w:rsidP="00A81D2D">
      <w:pPr>
        <w:spacing w:before="60" w:after="60"/>
      </w:pPr>
      <w:r>
        <w:t>n</w:t>
      </w:r>
      <w:r w:rsidR="00A81D2D" w:rsidRPr="00A425A8">
        <w:t>ach Ulrich Paul vom 03.05.2013 und 29.11.2013 in der Berliner Zeitung, gekürzt und verei</w:t>
      </w:r>
      <w:r w:rsidR="00A81D2D" w:rsidRPr="00A425A8">
        <w:t>n</w:t>
      </w:r>
      <w:r>
        <w:t>facht</w:t>
      </w:r>
      <w:r w:rsidR="00A81D2D" w:rsidRPr="00A425A8">
        <w:t xml:space="preserve">  (</w:t>
      </w:r>
      <w:r>
        <w:t>v</w:t>
      </w:r>
      <w:r w:rsidR="00A81D2D" w:rsidRPr="00A425A8">
        <w:t>gl. Link</w:t>
      </w:r>
      <w:r>
        <w:t>s</w:t>
      </w:r>
      <w:r w:rsidR="00A81D2D" w:rsidRPr="00A425A8">
        <w:t xml:space="preserve"> 1 + 2)</w:t>
      </w:r>
    </w:p>
    <w:p w:rsidR="00BE55F8" w:rsidRDefault="00BE55F8" w:rsidP="00A81D2D">
      <w:pPr>
        <w:spacing w:before="60" w:after="60"/>
        <w:rPr>
          <w:b/>
        </w:rPr>
      </w:pPr>
    </w:p>
    <w:p w:rsidR="00BE55F8" w:rsidRDefault="00BE55F8" w:rsidP="00A81D2D">
      <w:pPr>
        <w:spacing w:before="60" w:after="60"/>
        <w:rPr>
          <w:b/>
        </w:rPr>
      </w:pPr>
    </w:p>
    <w:p w:rsidR="00BE55F8" w:rsidRDefault="00BE55F8" w:rsidP="00A81D2D">
      <w:pPr>
        <w:spacing w:before="60" w:after="60"/>
        <w:rPr>
          <w:b/>
        </w:rPr>
      </w:pPr>
    </w:p>
    <w:p w:rsidR="00BE55F8" w:rsidRDefault="00BE55F8" w:rsidP="00A81D2D">
      <w:pPr>
        <w:spacing w:before="60" w:after="60"/>
        <w:rPr>
          <w:b/>
        </w:rPr>
      </w:pPr>
    </w:p>
    <w:p w:rsidR="00BE55F8" w:rsidRDefault="00BE55F8" w:rsidP="00A81D2D">
      <w:pPr>
        <w:spacing w:before="60" w:after="60"/>
        <w:rPr>
          <w:b/>
        </w:rPr>
      </w:pPr>
    </w:p>
    <w:p w:rsidR="00BE55F8" w:rsidRDefault="00BE55F8" w:rsidP="00A81D2D">
      <w:pPr>
        <w:spacing w:before="60" w:after="60"/>
        <w:rPr>
          <w:b/>
        </w:rPr>
      </w:pPr>
    </w:p>
    <w:p w:rsidR="00BE55F8" w:rsidRDefault="00BE55F8" w:rsidP="00A81D2D">
      <w:pPr>
        <w:spacing w:before="60" w:after="60"/>
        <w:rPr>
          <w:b/>
        </w:rPr>
      </w:pPr>
    </w:p>
    <w:p w:rsidR="00BE55F8" w:rsidRDefault="00BE55F8" w:rsidP="00A81D2D">
      <w:pPr>
        <w:spacing w:before="60" w:after="60"/>
        <w:rPr>
          <w:b/>
        </w:rPr>
      </w:pPr>
    </w:p>
    <w:p w:rsidR="00BE55F8" w:rsidRDefault="00BE55F8" w:rsidP="00A81D2D">
      <w:pPr>
        <w:spacing w:before="60" w:after="60"/>
        <w:rPr>
          <w:b/>
        </w:rPr>
      </w:pPr>
    </w:p>
    <w:p w:rsidR="00BE55F8" w:rsidRDefault="00BE55F8" w:rsidP="00A81D2D">
      <w:pPr>
        <w:spacing w:before="60" w:after="60"/>
        <w:rPr>
          <w:b/>
        </w:rPr>
      </w:pPr>
    </w:p>
    <w:p w:rsidR="00BE55F8" w:rsidRDefault="00BE55F8" w:rsidP="00A81D2D">
      <w:pPr>
        <w:spacing w:before="60" w:after="60"/>
        <w:rPr>
          <w:b/>
        </w:rPr>
      </w:pPr>
    </w:p>
    <w:p w:rsidR="00BE55F8" w:rsidRDefault="00BE55F8" w:rsidP="00A81D2D">
      <w:pPr>
        <w:spacing w:before="60" w:after="60"/>
        <w:rPr>
          <w:b/>
        </w:rPr>
      </w:pPr>
    </w:p>
    <w:p w:rsidR="00BE55F8" w:rsidRDefault="00BE55F8" w:rsidP="00A81D2D">
      <w:pPr>
        <w:spacing w:before="60" w:after="60"/>
        <w:rPr>
          <w:b/>
        </w:rPr>
      </w:pPr>
    </w:p>
    <w:p w:rsidR="00BE55F8" w:rsidRDefault="00BE55F8" w:rsidP="00A81D2D">
      <w:pPr>
        <w:spacing w:before="60" w:after="60"/>
        <w:rPr>
          <w:b/>
        </w:rPr>
      </w:pPr>
    </w:p>
    <w:p w:rsidR="00BE55F8" w:rsidRDefault="00BE55F8" w:rsidP="00A81D2D">
      <w:pPr>
        <w:spacing w:before="60" w:after="60"/>
        <w:rPr>
          <w:b/>
        </w:rPr>
      </w:pPr>
    </w:p>
    <w:p w:rsidR="00BE55F8" w:rsidRDefault="00BE55F8" w:rsidP="00A81D2D">
      <w:pPr>
        <w:spacing w:before="60" w:after="60"/>
        <w:rPr>
          <w:b/>
        </w:rPr>
      </w:pPr>
    </w:p>
    <w:p w:rsidR="00D07D30" w:rsidRDefault="00D07D30" w:rsidP="00A81D2D">
      <w:pPr>
        <w:spacing w:before="60" w:after="60"/>
        <w:rPr>
          <w:b/>
        </w:rPr>
      </w:pPr>
    </w:p>
    <w:p w:rsidR="00D07D30" w:rsidRDefault="00D07D30" w:rsidP="00A81D2D">
      <w:pPr>
        <w:spacing w:before="60" w:after="60"/>
        <w:rPr>
          <w:b/>
        </w:rPr>
      </w:pPr>
    </w:p>
    <w:p w:rsidR="00BE55F8" w:rsidRDefault="00BE55F8" w:rsidP="00A81D2D">
      <w:pPr>
        <w:spacing w:before="60" w:after="60"/>
        <w:rPr>
          <w:b/>
        </w:rPr>
      </w:pPr>
    </w:p>
    <w:p w:rsidR="00A81D2D" w:rsidRPr="00D07D30" w:rsidRDefault="00D07D30" w:rsidP="00A81D2D">
      <w:pPr>
        <w:spacing w:before="60" w:after="60"/>
        <w:rPr>
          <w:lang w:val="en-US"/>
        </w:rPr>
      </w:pPr>
      <w:r>
        <w:rPr>
          <w:b/>
          <w:noProof/>
          <w:lang w:eastAsia="de-DE"/>
        </w:rPr>
        <w:drawing>
          <wp:inline distT="0" distB="0" distL="0" distR="0">
            <wp:extent cx="1225550" cy="431800"/>
            <wp:effectExtent l="19050" t="0" r="0" b="0"/>
            <wp:docPr id="3" name="Bild 1" descr="G:\Publikationsteam\Schulz\standardillustrierende Aufgaben\by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ublikationsteam\Schulz\standardillustrierende Aufgaben\by-sa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7D30">
        <w:rPr>
          <w:b/>
          <w:lang w:val="en-US"/>
        </w:rPr>
        <w:t xml:space="preserve"> </w:t>
      </w:r>
      <w:r w:rsidRPr="00D07D30">
        <w:rPr>
          <w:lang w:val="en-US"/>
        </w:rPr>
        <w:t>LISUM</w:t>
      </w:r>
    </w:p>
    <w:p w:rsidR="00BE55F8" w:rsidRPr="00BE55F8" w:rsidRDefault="00BE55F8" w:rsidP="00BE55F8">
      <w:pPr>
        <w:spacing w:before="60" w:after="60"/>
        <w:rPr>
          <w:sz w:val="16"/>
          <w:szCs w:val="16"/>
          <w:lang w:val="en-US"/>
        </w:rPr>
      </w:pPr>
      <w:r w:rsidRPr="00BE55F8">
        <w:rPr>
          <w:sz w:val="16"/>
          <w:szCs w:val="16"/>
          <w:lang w:val="en-US"/>
        </w:rPr>
        <w:t>Link</w:t>
      </w:r>
      <w:r w:rsidR="0036330C">
        <w:rPr>
          <w:sz w:val="16"/>
          <w:szCs w:val="16"/>
          <w:lang w:val="en-US"/>
        </w:rPr>
        <w:t xml:space="preserve"> </w:t>
      </w:r>
      <w:r w:rsidRPr="00BE55F8">
        <w:rPr>
          <w:sz w:val="16"/>
          <w:szCs w:val="16"/>
          <w:lang w:val="en-US"/>
        </w:rPr>
        <w:t>1:</w:t>
      </w:r>
      <w:r w:rsidR="00D07D30">
        <w:rPr>
          <w:sz w:val="16"/>
          <w:szCs w:val="16"/>
          <w:lang w:val="en-US"/>
        </w:rPr>
        <w:t xml:space="preserve"> </w:t>
      </w:r>
      <w:hyperlink r:id="rId13" w:history="1">
        <w:r w:rsidRPr="00BE55F8">
          <w:rPr>
            <w:rStyle w:val="Hyperlink"/>
            <w:sz w:val="16"/>
            <w:szCs w:val="16"/>
            <w:lang w:val="en-US"/>
          </w:rPr>
          <w:t>http://www.berliner-zeitung.de/tempelhofer-feld/wohnungsbau-in-berlin-das-tempelhofer-feld-soll-frei-bleiben,22786336,22664510.html</w:t>
        </w:r>
      </w:hyperlink>
      <w:r w:rsidRPr="00BE55F8">
        <w:rPr>
          <w:sz w:val="16"/>
          <w:szCs w:val="16"/>
          <w:lang w:val="en-US"/>
        </w:rPr>
        <w:t xml:space="preserve"> (20.7.2015) CC BY SA 3.0 de</w:t>
      </w:r>
    </w:p>
    <w:p w:rsidR="00BE55F8" w:rsidRPr="0036330C" w:rsidRDefault="00BE55F8" w:rsidP="00D07D30">
      <w:pPr>
        <w:spacing w:before="60" w:after="60"/>
        <w:rPr>
          <w:b/>
          <w:sz w:val="28"/>
          <w:szCs w:val="28"/>
          <w:lang w:val="en-US"/>
        </w:rPr>
      </w:pPr>
      <w:r w:rsidRPr="00BE55F8">
        <w:rPr>
          <w:sz w:val="16"/>
          <w:szCs w:val="16"/>
          <w:lang w:val="en-US"/>
        </w:rPr>
        <w:t>Link</w:t>
      </w:r>
      <w:r w:rsidR="0036330C">
        <w:rPr>
          <w:sz w:val="16"/>
          <w:szCs w:val="16"/>
          <w:lang w:val="en-US"/>
        </w:rPr>
        <w:t xml:space="preserve"> </w:t>
      </w:r>
      <w:r w:rsidRPr="00BE55F8">
        <w:rPr>
          <w:sz w:val="16"/>
          <w:szCs w:val="16"/>
          <w:lang w:val="en-US"/>
        </w:rPr>
        <w:t>2:</w:t>
      </w:r>
      <w:r w:rsidR="00D07D30">
        <w:rPr>
          <w:sz w:val="16"/>
          <w:szCs w:val="16"/>
          <w:lang w:val="en-US"/>
        </w:rPr>
        <w:t xml:space="preserve"> </w:t>
      </w:r>
      <w:hyperlink r:id="rId14" w:history="1">
        <w:r w:rsidRPr="0036330C">
          <w:rPr>
            <w:rStyle w:val="Hyperlink"/>
            <w:sz w:val="16"/>
            <w:szCs w:val="16"/>
            <w:lang w:val="en-US"/>
          </w:rPr>
          <w:t>http://www.berliner-zeitung.de/berlin/wohnen-auf-dem-tempelhofer-feld-mehrheit-will-wohnungen-auf-dem-tempelhofer-feld,10809148,25468876.html</w:t>
        </w:r>
      </w:hyperlink>
      <w:r w:rsidRPr="0036330C">
        <w:rPr>
          <w:sz w:val="16"/>
          <w:szCs w:val="16"/>
          <w:lang w:val="en-US"/>
        </w:rPr>
        <w:t xml:space="preserve"> (20.7.2015) CC BY SA 3.0 de</w:t>
      </w:r>
      <w:r w:rsidRPr="0036330C">
        <w:rPr>
          <w:b/>
          <w:sz w:val="28"/>
          <w:szCs w:val="28"/>
          <w:lang w:val="en-US"/>
        </w:rPr>
        <w:t xml:space="preserve"> </w:t>
      </w:r>
    </w:p>
    <w:sectPr w:rsidR="00BE55F8" w:rsidRPr="0036330C" w:rsidSect="004851BE">
      <w:footerReference w:type="default" r:id="rId15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025" w:rsidRDefault="00856025" w:rsidP="00837EC7">
      <w:pPr>
        <w:spacing w:line="240" w:lineRule="auto"/>
      </w:pPr>
      <w:r>
        <w:separator/>
      </w:r>
    </w:p>
  </w:endnote>
  <w:endnote w:type="continuationSeparator" w:id="0">
    <w:p w:rsidR="00856025" w:rsidRDefault="00856025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9C6F6F">
          <w:fldChar w:fldCharType="begin"/>
        </w:r>
        <w:r w:rsidR="00BF1150">
          <w:instrText xml:space="preserve"> PAGE   \* MERGEFORMAT </w:instrText>
        </w:r>
        <w:r w:rsidR="009C6F6F">
          <w:fldChar w:fldCharType="separate"/>
        </w:r>
        <w:r w:rsidR="002E407A">
          <w:rPr>
            <w:noProof/>
          </w:rPr>
          <w:t>1</w:t>
        </w:r>
        <w:r w:rsidR="009C6F6F"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0484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9C6F6F">
          <w:fldChar w:fldCharType="begin"/>
        </w:r>
        <w:r w:rsidR="00BF1150">
          <w:instrText xml:space="preserve"> PAGE   \* MERGEFORMAT </w:instrText>
        </w:r>
        <w:r w:rsidR="009C6F6F">
          <w:fldChar w:fldCharType="separate"/>
        </w:r>
        <w:r w:rsidR="002E407A">
          <w:rPr>
            <w:noProof/>
          </w:rPr>
          <w:t>3</w:t>
        </w:r>
        <w:r w:rsidR="009C6F6F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025" w:rsidRDefault="00856025" w:rsidP="00837EC7">
      <w:pPr>
        <w:spacing w:line="240" w:lineRule="auto"/>
      </w:pPr>
      <w:r>
        <w:separator/>
      </w:r>
    </w:p>
  </w:footnote>
  <w:footnote w:type="continuationSeparator" w:id="0">
    <w:p w:rsidR="00856025" w:rsidRDefault="00856025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Default="004F3656" w:rsidP="00B94BD8">
    <w:pPr>
      <w:pStyle w:val="Kopfzeile"/>
      <w:spacing w:line="240" w:lineRule="auto"/>
      <w:jc w:val="right"/>
    </w:pPr>
  </w:p>
  <w:p w:rsidR="004F3656" w:rsidRPr="00142DFA" w:rsidRDefault="004F3656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42437"/>
    <w:multiLevelType w:val="hybridMultilevel"/>
    <w:tmpl w:val="A67EA6A6"/>
    <w:lvl w:ilvl="0" w:tplc="B8646074">
      <w:start w:val="1"/>
      <w:numFmt w:val="bullet"/>
      <w:pStyle w:val="Aufzhlung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autoHyphenation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282097"/>
    <w:rsid w:val="0002294B"/>
    <w:rsid w:val="0004165F"/>
    <w:rsid w:val="00067296"/>
    <w:rsid w:val="000A2A61"/>
    <w:rsid w:val="000A4B8B"/>
    <w:rsid w:val="000D7197"/>
    <w:rsid w:val="000E454E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C078B"/>
    <w:rsid w:val="001C3197"/>
    <w:rsid w:val="001F319E"/>
    <w:rsid w:val="00202F49"/>
    <w:rsid w:val="00206E1F"/>
    <w:rsid w:val="00231319"/>
    <w:rsid w:val="002348B8"/>
    <w:rsid w:val="002613B9"/>
    <w:rsid w:val="00282097"/>
    <w:rsid w:val="002A04B8"/>
    <w:rsid w:val="002A2294"/>
    <w:rsid w:val="002B14FC"/>
    <w:rsid w:val="002D3F70"/>
    <w:rsid w:val="002D55C9"/>
    <w:rsid w:val="002E1682"/>
    <w:rsid w:val="002E407A"/>
    <w:rsid w:val="002F3C8C"/>
    <w:rsid w:val="00300E1A"/>
    <w:rsid w:val="00316AAC"/>
    <w:rsid w:val="00321743"/>
    <w:rsid w:val="00334567"/>
    <w:rsid w:val="0036330C"/>
    <w:rsid w:val="00363539"/>
    <w:rsid w:val="00381AB2"/>
    <w:rsid w:val="003838F5"/>
    <w:rsid w:val="003D2015"/>
    <w:rsid w:val="003F4234"/>
    <w:rsid w:val="0040115E"/>
    <w:rsid w:val="004072A0"/>
    <w:rsid w:val="00411347"/>
    <w:rsid w:val="004402A1"/>
    <w:rsid w:val="00445672"/>
    <w:rsid w:val="00451605"/>
    <w:rsid w:val="00467ABE"/>
    <w:rsid w:val="004851BE"/>
    <w:rsid w:val="0049671A"/>
    <w:rsid w:val="00496D76"/>
    <w:rsid w:val="004B3171"/>
    <w:rsid w:val="004C485B"/>
    <w:rsid w:val="004C5D31"/>
    <w:rsid w:val="004E3B81"/>
    <w:rsid w:val="004F3656"/>
    <w:rsid w:val="005052CB"/>
    <w:rsid w:val="00525855"/>
    <w:rsid w:val="00537A2A"/>
    <w:rsid w:val="00554653"/>
    <w:rsid w:val="005960DF"/>
    <w:rsid w:val="005C16CC"/>
    <w:rsid w:val="005F1ACA"/>
    <w:rsid w:val="005F26CE"/>
    <w:rsid w:val="00647711"/>
    <w:rsid w:val="0067347B"/>
    <w:rsid w:val="00677337"/>
    <w:rsid w:val="006A22F8"/>
    <w:rsid w:val="006A599E"/>
    <w:rsid w:val="006B7C3C"/>
    <w:rsid w:val="006C713F"/>
    <w:rsid w:val="006D084A"/>
    <w:rsid w:val="006D5EEA"/>
    <w:rsid w:val="006D719E"/>
    <w:rsid w:val="006E18A3"/>
    <w:rsid w:val="007024FB"/>
    <w:rsid w:val="007357B6"/>
    <w:rsid w:val="00741590"/>
    <w:rsid w:val="00747176"/>
    <w:rsid w:val="0075698F"/>
    <w:rsid w:val="007621DD"/>
    <w:rsid w:val="007C1D1C"/>
    <w:rsid w:val="007C32D6"/>
    <w:rsid w:val="007C3E2C"/>
    <w:rsid w:val="007D6BA1"/>
    <w:rsid w:val="007E732F"/>
    <w:rsid w:val="00800BD6"/>
    <w:rsid w:val="008109AD"/>
    <w:rsid w:val="008119C5"/>
    <w:rsid w:val="00820851"/>
    <w:rsid w:val="00825908"/>
    <w:rsid w:val="00826C8F"/>
    <w:rsid w:val="00834CAC"/>
    <w:rsid w:val="00837EC7"/>
    <w:rsid w:val="00856025"/>
    <w:rsid w:val="00895675"/>
    <w:rsid w:val="008A1768"/>
    <w:rsid w:val="008B1D49"/>
    <w:rsid w:val="008B6E6E"/>
    <w:rsid w:val="008E0ABA"/>
    <w:rsid w:val="008E2ED1"/>
    <w:rsid w:val="008E7D45"/>
    <w:rsid w:val="008F78E6"/>
    <w:rsid w:val="0091067D"/>
    <w:rsid w:val="009200BB"/>
    <w:rsid w:val="00922BED"/>
    <w:rsid w:val="00937B60"/>
    <w:rsid w:val="0095558E"/>
    <w:rsid w:val="00971722"/>
    <w:rsid w:val="0098499C"/>
    <w:rsid w:val="009A1D85"/>
    <w:rsid w:val="009C6F6F"/>
    <w:rsid w:val="009F42E4"/>
    <w:rsid w:val="00A20523"/>
    <w:rsid w:val="00A23A40"/>
    <w:rsid w:val="00A366CC"/>
    <w:rsid w:val="00A425A8"/>
    <w:rsid w:val="00A437CB"/>
    <w:rsid w:val="00A57E9B"/>
    <w:rsid w:val="00A804F8"/>
    <w:rsid w:val="00A81D2D"/>
    <w:rsid w:val="00A828A1"/>
    <w:rsid w:val="00A973E5"/>
    <w:rsid w:val="00AB509B"/>
    <w:rsid w:val="00AD39E6"/>
    <w:rsid w:val="00AE2D84"/>
    <w:rsid w:val="00AE3A55"/>
    <w:rsid w:val="00B137D8"/>
    <w:rsid w:val="00B542E5"/>
    <w:rsid w:val="00B66682"/>
    <w:rsid w:val="00B94BD8"/>
    <w:rsid w:val="00BB6B8C"/>
    <w:rsid w:val="00BC763D"/>
    <w:rsid w:val="00BD7E76"/>
    <w:rsid w:val="00BE55F8"/>
    <w:rsid w:val="00BE7704"/>
    <w:rsid w:val="00BF1150"/>
    <w:rsid w:val="00BF22FF"/>
    <w:rsid w:val="00BF2994"/>
    <w:rsid w:val="00BF4880"/>
    <w:rsid w:val="00C01D4F"/>
    <w:rsid w:val="00C16860"/>
    <w:rsid w:val="00C17F37"/>
    <w:rsid w:val="00C2632F"/>
    <w:rsid w:val="00C45B4C"/>
    <w:rsid w:val="00C47F23"/>
    <w:rsid w:val="00C6552D"/>
    <w:rsid w:val="00C80A0D"/>
    <w:rsid w:val="00CA6BCA"/>
    <w:rsid w:val="00CB3549"/>
    <w:rsid w:val="00CB5593"/>
    <w:rsid w:val="00D037AC"/>
    <w:rsid w:val="00D0707C"/>
    <w:rsid w:val="00D07D30"/>
    <w:rsid w:val="00D226DE"/>
    <w:rsid w:val="00D270BC"/>
    <w:rsid w:val="00D41BE0"/>
    <w:rsid w:val="00DA42CF"/>
    <w:rsid w:val="00DC762A"/>
    <w:rsid w:val="00DD0C30"/>
    <w:rsid w:val="00DF308F"/>
    <w:rsid w:val="00E1661E"/>
    <w:rsid w:val="00E16A0E"/>
    <w:rsid w:val="00E16B27"/>
    <w:rsid w:val="00E21064"/>
    <w:rsid w:val="00E26832"/>
    <w:rsid w:val="00E45566"/>
    <w:rsid w:val="00E579BF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F17F92"/>
    <w:rsid w:val="00F2257F"/>
    <w:rsid w:val="00F372D1"/>
    <w:rsid w:val="00F5187C"/>
    <w:rsid w:val="00F808D8"/>
    <w:rsid w:val="00F83115"/>
    <w:rsid w:val="00F86862"/>
    <w:rsid w:val="00F97F64"/>
    <w:rsid w:val="00FA0BB9"/>
    <w:rsid w:val="00FC2E10"/>
    <w:rsid w:val="00FD1D6C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paragraph" w:customStyle="1" w:styleId="Aufzhlung">
    <w:name w:val="Aufzählung"/>
    <w:basedOn w:val="Standard"/>
    <w:qFormat/>
    <w:rsid w:val="008E0ABA"/>
    <w:pPr>
      <w:numPr>
        <w:numId w:val="11"/>
      </w:numPr>
      <w:spacing w:before="80" w:after="80" w:line="240" w:lineRule="auto"/>
      <w:ind w:left="360"/>
    </w:pPr>
    <w:rPr>
      <w:rFonts w:eastAsia="Arial Unicode MS" w:cs="Arial"/>
      <w:color w:val="000000"/>
      <w:lang w:eastAsia="de-DE"/>
    </w:rPr>
  </w:style>
  <w:style w:type="character" w:styleId="Hyperlink">
    <w:name w:val="Hyperlink"/>
    <w:basedOn w:val="Absatz-Standardschriftart"/>
    <w:uiPriority w:val="99"/>
    <w:unhideWhenUsed/>
    <w:rsid w:val="009200BB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200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berliner-zeitung.de/tempelhofer-feld/wohnungsbau-in-berlin-das-tempelhofer-feld-soll-frei-bleiben,22786336,22664510.html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erliner-zeitung.de/berlin/wohnen-auf-dem-tempelhofer-feld-mehrheit-will-wohnungen-auf-dem-tempelhofer-feld,10809148,25468876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rliner-zeitung.de/tempelhofer-feld/wohnungsbau-in-berlin-das-tempelhofer-feld-soll-frei-bleiben,22786336,22664510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berliner-zeitung.de/berlin/wohnen-auf-dem-tempelhofer-feld-mehrheit-will-wohnungen-auf-dem-tempelhofer-feld,10809148,25468876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1B176-481C-4354-A78E-66A07E6A9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3995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Witt-S</dc:creator>
  <cp:lastModifiedBy>Haertel</cp:lastModifiedBy>
  <cp:revision>2</cp:revision>
  <cp:lastPrinted>2015-09-11T07:24:00Z</cp:lastPrinted>
  <dcterms:created xsi:type="dcterms:W3CDTF">2015-12-01T12:03:00Z</dcterms:created>
  <dcterms:modified xsi:type="dcterms:W3CDTF">2015-12-01T12:03:00Z</dcterms:modified>
</cp:coreProperties>
</file>