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80807">
      <w:pPr>
        <w:spacing w:after="120"/>
        <w:jc w:val="both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80807">
      <w:pPr>
        <w:spacing w:after="120"/>
        <w:jc w:val="both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01304D">
        <w:trPr>
          <w:trHeight w:val="262"/>
        </w:trPr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992F12" w:rsidP="00C14DC5">
            <w:pPr>
              <w:spacing w:before="200" w:after="200"/>
            </w:pPr>
            <w:r>
              <w:t>Geogra</w:t>
            </w:r>
            <w:r w:rsidR="00C14DC5">
              <w:t>fi</w:t>
            </w:r>
            <w:r>
              <w:t>e</w:t>
            </w:r>
          </w:p>
        </w:tc>
      </w:tr>
      <w:tr w:rsidR="00B94BD8" w:rsidRPr="008119C5" w:rsidTr="0001304D">
        <w:trPr>
          <w:trHeight w:val="130"/>
        </w:trPr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14DC5" w:rsidP="00321743">
            <w:pPr>
              <w:spacing w:before="200" w:after="200"/>
            </w:pPr>
            <w:r>
              <w:t>Methoden anwenden (Geo K-2.3)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14DC5" w:rsidP="001E7774">
            <w:pPr>
              <w:tabs>
                <w:tab w:val="left" w:pos="1373"/>
              </w:tabs>
              <w:spacing w:before="200" w:after="200"/>
            </w:pPr>
            <w:r>
              <w:t>Informationen verarbeiten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61438" w:rsidP="00BE7704">
            <w:pPr>
              <w:tabs>
                <w:tab w:val="left" w:pos="1190"/>
              </w:tabs>
              <w:spacing w:before="200" w:after="200"/>
            </w:pPr>
            <w:r>
              <w:t>F-G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6565A" w:rsidP="00C14DC5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661438">
              <w:t>Daten klassifizieren</w:t>
            </w:r>
            <w:r w:rsidR="00C14DC5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992F12" w:rsidP="00992F12">
            <w:pPr>
              <w:tabs>
                <w:tab w:val="left" w:pos="1190"/>
              </w:tabs>
              <w:spacing w:before="200" w:after="200"/>
            </w:pPr>
            <w:r>
              <w:t>3.6</w:t>
            </w:r>
            <w:r w:rsidR="001E7774">
              <w:t xml:space="preserve"> </w:t>
            </w:r>
            <w:r>
              <w:t>Klimawandel und Klimaschutz als Beispiel für internationale Konflikte und Konfliktlösungen</w:t>
            </w:r>
          </w:p>
          <w:p w:rsidR="00964E15" w:rsidRPr="00202F49" w:rsidRDefault="00C14DC5" w:rsidP="00321743">
            <w:pPr>
              <w:tabs>
                <w:tab w:val="left" w:pos="1190"/>
              </w:tabs>
              <w:spacing w:before="200" w:after="200"/>
            </w:pPr>
            <w:r>
              <w:t xml:space="preserve">Mögliches </w:t>
            </w:r>
            <w:r w:rsidR="00661438">
              <w:t xml:space="preserve">Thema: Darstellung des Klimawandels in den </w:t>
            </w:r>
            <w:r>
              <w:br/>
            </w:r>
            <w:r w:rsidR="00661438">
              <w:t>Medien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98017D" w:rsidP="00321743">
            <w:pPr>
              <w:tabs>
                <w:tab w:val="left" w:pos="1190"/>
              </w:tabs>
              <w:spacing w:before="200" w:after="200"/>
            </w:pPr>
            <w:r>
              <w:t xml:space="preserve">BC </w:t>
            </w:r>
            <w:r w:rsidR="006F4861">
              <w:t>Sprachbildung</w:t>
            </w:r>
            <w:r w:rsidR="00230B14">
              <w:t>: Texte verstehen und nutzen</w:t>
            </w:r>
          </w:p>
          <w:p w:rsidR="0060356D" w:rsidRDefault="0060356D" w:rsidP="00321743">
            <w:pPr>
              <w:tabs>
                <w:tab w:val="left" w:pos="1190"/>
              </w:tabs>
              <w:spacing w:before="200" w:after="200"/>
            </w:pPr>
            <w:r>
              <w:t xml:space="preserve">BC Medienbildung: </w:t>
            </w:r>
            <w:r w:rsidR="00555A0D">
              <w:t>Prüfung und Bewertung von Quellen und Information</w:t>
            </w:r>
          </w:p>
          <w:p w:rsidR="00454487" w:rsidRPr="0021665E" w:rsidRDefault="00454487" w:rsidP="00230B14">
            <w:pPr>
              <w:tabs>
                <w:tab w:val="left" w:pos="1190"/>
              </w:tabs>
              <w:spacing w:before="200" w:after="200"/>
            </w:pPr>
            <w:r>
              <w:t>ÜT</w:t>
            </w:r>
            <w:r w:rsidR="00230B14">
              <w:t>:</w:t>
            </w:r>
            <w:r>
              <w:t xml:space="preserve"> Nachhaltige Entwicklung/Lernen in globalen Zusamme</w:t>
            </w:r>
            <w:r>
              <w:t>n</w:t>
            </w:r>
            <w:r>
              <w:t>hängen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555A0D" w:rsidP="00555A0D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  <w:r>
              <w:br/>
            </w:r>
            <w:r w:rsidR="006F4861">
              <w:t xml:space="preserve">G: </w:t>
            </w:r>
            <w:r w:rsidR="0098017D">
              <w:t xml:space="preserve">Die Schüler und Schülerinnen können </w:t>
            </w:r>
            <w:r w:rsidR="006F4861">
              <w:t>Informationen ve</w:t>
            </w:r>
            <w:r w:rsidR="006F4861">
              <w:t>r</w:t>
            </w:r>
            <w:r w:rsidR="006F4861">
              <w:t>schiedener Texte zu einem Thema bewerten.</w:t>
            </w:r>
          </w:p>
          <w:p w:rsidR="00555A0D" w:rsidRPr="00202F49" w:rsidRDefault="00555A0D" w:rsidP="00555A0D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  <w:r>
              <w:br/>
              <w:t>G: Die Schüler und Schülerinnen können die Glaubwürdigkeit von Informationsquellen kriterienbezogen analysieren und beu</w:t>
            </w:r>
            <w:r>
              <w:t>r</w:t>
            </w:r>
            <w:r>
              <w:t>teilen.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4D6FF8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1E7774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1E7774">
              <w:rPr>
                <w:b/>
              </w:rPr>
              <w:t>geschlossen</w:t>
            </w:r>
            <w:r w:rsidR="00334567" w:rsidRPr="001E7774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4B39E4" w:rsidP="00321743">
            <w:pPr>
              <w:spacing w:before="200" w:after="200"/>
            </w:pPr>
            <w:r>
              <w:t>Klimawandel, Grönland, Klassifikation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36565A" w:rsidRDefault="0036565A" w:rsidP="00BF22FF">
      <w:pPr>
        <w:spacing w:before="60" w:after="60"/>
        <w:rPr>
          <w:b/>
        </w:rPr>
      </w:pPr>
    </w:p>
    <w:p w:rsidR="0036565A" w:rsidRDefault="0036565A" w:rsidP="0036565A">
      <w:pPr>
        <w:spacing w:before="60" w:after="60"/>
        <w:rPr>
          <w:b/>
        </w:rPr>
      </w:pPr>
      <w:r>
        <w:rPr>
          <w:b/>
        </w:rPr>
        <w:t>Aufgabe:</w:t>
      </w:r>
    </w:p>
    <w:p w:rsidR="00992F12" w:rsidRDefault="00992F12" w:rsidP="00BF22FF">
      <w:pPr>
        <w:spacing w:before="60" w:after="60"/>
        <w:rPr>
          <w:bCs/>
        </w:rPr>
      </w:pPr>
    </w:p>
    <w:p w:rsidR="008A037C" w:rsidRDefault="00A011BC" w:rsidP="00A011BC">
      <w:pPr>
        <w:spacing w:before="60" w:after="60"/>
        <w:jc w:val="both"/>
        <w:rPr>
          <w:bCs/>
        </w:rPr>
      </w:pPr>
      <w:r>
        <w:rPr>
          <w:bCs/>
        </w:rPr>
        <w:t xml:space="preserve">Zur Darstellung der Klimazonen ist in Deutschland lange die Karte von Köppen </w:t>
      </w:r>
      <w:r w:rsidR="00784289">
        <w:rPr>
          <w:bCs/>
        </w:rPr>
        <w:t xml:space="preserve">und Geiger </w:t>
      </w:r>
      <w:r>
        <w:rPr>
          <w:bCs/>
        </w:rPr>
        <w:t>in der Ausgabe von 1928 genutzt worden. 1999 haben Siegmund und Frankenberg eine neue Karte vorgelegt. Siegmund behauptet, dass man durch einen Vergleich der beiden Karten auch den Klimawandel beobachten könne; und zwar insbesondere bei der Darstellung Sü</w:t>
      </w:r>
      <w:r>
        <w:rPr>
          <w:bCs/>
        </w:rPr>
        <w:t>d</w:t>
      </w:r>
      <w:r>
        <w:rPr>
          <w:bCs/>
        </w:rPr>
        <w:t>grönlands</w:t>
      </w:r>
      <w:r w:rsidR="00DA20F6">
        <w:rPr>
          <w:bCs/>
        </w:rPr>
        <w:t>, die deutlich eine Erwärmung zeige</w:t>
      </w:r>
      <w:r>
        <w:rPr>
          <w:bCs/>
        </w:rPr>
        <w:t>.</w:t>
      </w:r>
    </w:p>
    <w:p w:rsidR="00A011BC" w:rsidRPr="008A037C" w:rsidRDefault="00A011BC" w:rsidP="00A011BC">
      <w:pPr>
        <w:spacing w:before="60" w:after="60"/>
        <w:jc w:val="both"/>
        <w:rPr>
          <w:bCs/>
        </w:rPr>
      </w:pPr>
      <w:r>
        <w:rPr>
          <w:bCs/>
        </w:rPr>
        <w:t>Beurteile diese Aussage mit Hilfe der beiden Karten</w:t>
      </w:r>
      <w:r w:rsidR="00784289">
        <w:rPr>
          <w:bCs/>
        </w:rPr>
        <w:t xml:space="preserve"> im D</w:t>
      </w:r>
      <w:r w:rsidR="003E03B2">
        <w:rPr>
          <w:bCs/>
        </w:rPr>
        <w:t>iercke Weltatlas (2015).</w:t>
      </w:r>
    </w:p>
    <w:p w:rsidR="00916A92" w:rsidRDefault="00916A92" w:rsidP="00BF22FF">
      <w:pPr>
        <w:spacing w:before="60" w:after="60"/>
        <w:rPr>
          <w:b/>
        </w:rPr>
      </w:pPr>
    </w:p>
    <w:p w:rsidR="00916A92" w:rsidRDefault="00916A92" w:rsidP="00BF22FF">
      <w:pPr>
        <w:spacing w:before="60" w:after="60"/>
        <w:rPr>
          <w:b/>
        </w:rPr>
      </w:pPr>
      <w:r>
        <w:rPr>
          <w:b/>
        </w:rPr>
        <w:t>Aufgabe mit Hilfestellung (</w:t>
      </w:r>
      <w:r w:rsidR="006F4861">
        <w:rPr>
          <w:b/>
        </w:rPr>
        <w:t>S</w:t>
      </w:r>
      <w:r>
        <w:rPr>
          <w:b/>
        </w:rPr>
        <w:t>caffolding):</w:t>
      </w:r>
    </w:p>
    <w:p w:rsidR="00A011BC" w:rsidRDefault="00A011BC" w:rsidP="00916A92">
      <w:pPr>
        <w:spacing w:before="60" w:after="60"/>
        <w:rPr>
          <w:b/>
        </w:rPr>
      </w:pPr>
    </w:p>
    <w:p w:rsidR="00106576" w:rsidRDefault="00964090" w:rsidP="00784289">
      <w:pPr>
        <w:spacing w:before="60" w:after="60"/>
        <w:jc w:val="both"/>
        <w:rPr>
          <w:bCs/>
        </w:rPr>
      </w:pPr>
      <w:r>
        <w:rPr>
          <w:bCs/>
        </w:rPr>
        <w:t>Analysiere die Darstellung Südgrönlands in den beiden Karten</w:t>
      </w:r>
      <w:r w:rsidR="00784289">
        <w:rPr>
          <w:bCs/>
        </w:rPr>
        <w:t xml:space="preserve"> im </w:t>
      </w:r>
      <w:r w:rsidR="003E03B2">
        <w:rPr>
          <w:bCs/>
        </w:rPr>
        <w:t>Diercke Weltatlas</w:t>
      </w:r>
      <w:r w:rsidR="00B015FE">
        <w:rPr>
          <w:bCs/>
        </w:rPr>
        <w:t xml:space="preserve"> (</w:t>
      </w:r>
      <w:r w:rsidR="003E03B2">
        <w:rPr>
          <w:bCs/>
        </w:rPr>
        <w:t xml:space="preserve">2015, </w:t>
      </w:r>
      <w:r w:rsidR="00B015FE">
        <w:rPr>
          <w:bCs/>
        </w:rPr>
        <w:t>S. 244 und 247)</w:t>
      </w:r>
      <w:r>
        <w:rPr>
          <w:bCs/>
        </w:rPr>
        <w:t xml:space="preserve">. </w:t>
      </w:r>
      <w:r w:rsidR="00A011BC">
        <w:rPr>
          <w:bCs/>
        </w:rPr>
        <w:t>Vergleiche dazu die in den Karten genutzte Klassifikation</w:t>
      </w:r>
      <w:r w:rsidR="00784289">
        <w:rPr>
          <w:bCs/>
        </w:rPr>
        <w:t>, die du aus der Legende entnehmen kannst</w:t>
      </w:r>
      <w:r w:rsidR="00A011BC">
        <w:rPr>
          <w:bCs/>
        </w:rPr>
        <w:t xml:space="preserve">. Beschreibe die </w:t>
      </w:r>
      <w:r w:rsidR="00784289">
        <w:rPr>
          <w:bCs/>
        </w:rPr>
        <w:t>Effekte</w:t>
      </w:r>
      <w:r w:rsidR="00A011BC">
        <w:rPr>
          <w:bCs/>
        </w:rPr>
        <w:t xml:space="preserve"> der unterschiedlichen Klassifikati</w:t>
      </w:r>
      <w:r w:rsidR="00DA20F6">
        <w:rPr>
          <w:bCs/>
        </w:rPr>
        <w:t>on</w:t>
      </w:r>
      <w:r w:rsidR="00784289">
        <w:rPr>
          <w:bCs/>
        </w:rPr>
        <w:t>en</w:t>
      </w:r>
      <w:r w:rsidR="00DA20F6">
        <w:rPr>
          <w:bCs/>
        </w:rPr>
        <w:t xml:space="preserve"> am Beispiel Deutschland</w:t>
      </w:r>
      <w:r w:rsidR="00784289">
        <w:rPr>
          <w:bCs/>
        </w:rPr>
        <w:t>s</w:t>
      </w:r>
      <w:r>
        <w:rPr>
          <w:bCs/>
        </w:rPr>
        <w:t xml:space="preserve"> und Südgrönland</w:t>
      </w:r>
      <w:r w:rsidR="00784289">
        <w:rPr>
          <w:bCs/>
        </w:rPr>
        <w:t>s</w:t>
      </w:r>
      <w:r w:rsidR="00106576">
        <w:rPr>
          <w:bCs/>
        </w:rPr>
        <w:t>: Wo ist es auf der Karte von Siegmund und Frankenberg „wärmer“ und wo ist es „kälter“ geworden?</w:t>
      </w:r>
    </w:p>
    <w:p w:rsidR="00916A92" w:rsidRDefault="00106576" w:rsidP="00784289">
      <w:pPr>
        <w:spacing w:before="60" w:after="60"/>
        <w:jc w:val="both"/>
        <w:rPr>
          <w:bCs/>
        </w:rPr>
      </w:pPr>
      <w:r>
        <w:rPr>
          <w:bCs/>
        </w:rPr>
        <w:t>Siegmund behauptet, dass man durch einen Vergleich der beiden Karten auch den Klim</w:t>
      </w:r>
      <w:r>
        <w:rPr>
          <w:bCs/>
        </w:rPr>
        <w:t>a</w:t>
      </w:r>
      <w:r>
        <w:rPr>
          <w:bCs/>
        </w:rPr>
        <w:t xml:space="preserve">wandel beobachten könne; und zwar insbesondere bei der Darstellung Südgrönlands, die deutlich eine Erwärmung zeige. </w:t>
      </w:r>
      <w:r w:rsidR="00964090">
        <w:rPr>
          <w:bCs/>
        </w:rPr>
        <w:t>Beurtei</w:t>
      </w:r>
      <w:r>
        <w:rPr>
          <w:bCs/>
        </w:rPr>
        <w:t>le</w:t>
      </w:r>
      <w:r w:rsidR="00964090">
        <w:rPr>
          <w:bCs/>
        </w:rPr>
        <w:t xml:space="preserve"> die</w:t>
      </w:r>
      <w:r>
        <w:rPr>
          <w:bCs/>
        </w:rPr>
        <w:t>se Aussage</w:t>
      </w:r>
      <w:r w:rsidR="00964090">
        <w:rPr>
          <w:bCs/>
        </w:rPr>
        <w:t>.</w:t>
      </w:r>
    </w:p>
    <w:p w:rsidR="00964090" w:rsidRDefault="00964090" w:rsidP="00A011BC">
      <w:pPr>
        <w:spacing w:before="60" w:after="60"/>
        <w:jc w:val="both"/>
        <w:rPr>
          <w:bCs/>
        </w:rPr>
      </w:pPr>
    </w:p>
    <w:p w:rsidR="00964090" w:rsidRPr="00964090" w:rsidRDefault="0098017D" w:rsidP="00A011BC">
      <w:pPr>
        <w:spacing w:before="60" w:after="60"/>
        <w:jc w:val="both"/>
        <w:rPr>
          <w:b/>
        </w:rPr>
      </w:pPr>
      <w:r>
        <w:rPr>
          <w:b/>
        </w:rPr>
        <w:t>Aufgabe zur Hinführung zu</w:t>
      </w:r>
      <w:r w:rsidR="00964090" w:rsidRPr="00964090">
        <w:rPr>
          <w:b/>
        </w:rPr>
        <w:t xml:space="preserve"> Niveau H:</w:t>
      </w:r>
    </w:p>
    <w:p w:rsidR="00CC6E7D" w:rsidRDefault="00CC6E7D" w:rsidP="00BF22FF">
      <w:pPr>
        <w:spacing w:before="60" w:after="60"/>
        <w:rPr>
          <w:b/>
        </w:rPr>
      </w:pPr>
    </w:p>
    <w:p w:rsidR="00106576" w:rsidRDefault="008B762C" w:rsidP="008B762C">
      <w:pPr>
        <w:spacing w:before="60" w:after="60"/>
        <w:jc w:val="both"/>
        <w:rPr>
          <w:bCs/>
        </w:rPr>
      </w:pPr>
      <w:r>
        <w:rPr>
          <w:bCs/>
        </w:rPr>
        <w:t>Unterschiedliche Klassifikationen sind nicht der einzige Grund für unterschiedliche Karte</w:t>
      </w:r>
      <w:r>
        <w:rPr>
          <w:bCs/>
        </w:rPr>
        <w:t>n</w:t>
      </w:r>
      <w:r>
        <w:rPr>
          <w:bCs/>
        </w:rPr>
        <w:t xml:space="preserve">darstellungen. Erläutere einen weiteren Grund am Beispiel der Station Nasarsuaq. </w:t>
      </w:r>
    </w:p>
    <w:p w:rsidR="00C12423" w:rsidRDefault="00C12423" w:rsidP="008B762C">
      <w:pPr>
        <w:spacing w:before="60" w:after="60"/>
        <w:jc w:val="both"/>
        <w:rPr>
          <w:bCs/>
        </w:rPr>
      </w:pPr>
    </w:p>
    <w:p w:rsidR="00C12423" w:rsidRPr="00C12423" w:rsidRDefault="00C12423" w:rsidP="00C12423"/>
    <w:p w:rsidR="00C12423" w:rsidRP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Default="00C12423" w:rsidP="00C12423"/>
    <w:p w:rsidR="00C12423" w:rsidRPr="00C12423" w:rsidRDefault="00C12423" w:rsidP="00C12423"/>
    <w:p w:rsidR="00C12423" w:rsidRDefault="00C12423" w:rsidP="00C12423">
      <w:pPr>
        <w:tabs>
          <w:tab w:val="left" w:pos="1089"/>
        </w:tabs>
      </w:pPr>
      <w:r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C12423" w:rsidRDefault="00CF5FF9" w:rsidP="00C12423">
      <w:pPr>
        <w:tabs>
          <w:tab w:val="left" w:pos="1089"/>
        </w:tabs>
      </w:pPr>
      <w:r>
        <w:t>a</w:t>
      </w:r>
      <w:r w:rsidR="00C12423">
        <w:t xml:space="preserve">usgenommen: M1 und M2: </w:t>
      </w:r>
      <w:r w:rsidR="00C12423" w:rsidRPr="00C12423">
        <w:t>© westermann, Bildungshaus Schulbuchverlage, Braunschweig</w:t>
      </w:r>
    </w:p>
    <w:p w:rsidR="00B015FE" w:rsidRPr="00C12423" w:rsidRDefault="00B015FE" w:rsidP="00C12423">
      <w:pPr>
        <w:sectPr w:rsidR="00B015FE" w:rsidRPr="00C12423" w:rsidSect="004851BE">
          <w:footerReference w:type="default" r:id="rId11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C6E7D" w:rsidRDefault="00CC6E7D" w:rsidP="00BF22FF">
      <w:pPr>
        <w:spacing w:before="60" w:after="60"/>
        <w:rPr>
          <w:b/>
        </w:rPr>
      </w:pPr>
      <w:r>
        <w:rPr>
          <w:b/>
        </w:rPr>
        <w:lastRenderedPageBreak/>
        <w:t>Material: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8B762C" w:rsidTr="007B64E5">
        <w:tc>
          <w:tcPr>
            <w:tcW w:w="9286" w:type="dxa"/>
            <w:vAlign w:val="center"/>
          </w:tcPr>
          <w:p w:rsidR="008B762C" w:rsidRDefault="00B015FE" w:rsidP="004D6FF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 1 </w:t>
            </w:r>
            <w:r w:rsidR="008B762C">
              <w:rPr>
                <w:b/>
              </w:rPr>
              <w:t xml:space="preserve">Klimakarte von Köppen </w:t>
            </w:r>
            <w:r w:rsidR="00784289">
              <w:rPr>
                <w:b/>
              </w:rPr>
              <w:t xml:space="preserve">und Geiger </w:t>
            </w:r>
            <w:r w:rsidR="008B762C">
              <w:rPr>
                <w:b/>
              </w:rPr>
              <w:t>(1928)</w:t>
            </w:r>
          </w:p>
        </w:tc>
      </w:tr>
      <w:tr w:rsidR="008B762C" w:rsidTr="007B64E5">
        <w:tc>
          <w:tcPr>
            <w:tcW w:w="9286" w:type="dxa"/>
            <w:vAlign w:val="center"/>
          </w:tcPr>
          <w:p w:rsidR="008B762C" w:rsidRDefault="004D6FF8" w:rsidP="004D6FF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597718" cy="3176566"/>
                  <wp:effectExtent l="0" t="0" r="3175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makarte Köpp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519" cy="318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FF8" w:rsidRPr="00784289" w:rsidTr="007B64E5">
        <w:tc>
          <w:tcPr>
            <w:tcW w:w="9286" w:type="dxa"/>
            <w:vAlign w:val="center"/>
          </w:tcPr>
          <w:p w:rsidR="00DD4F73" w:rsidRDefault="007B64E5" w:rsidP="004D6FF8">
            <w:pPr>
              <w:spacing w:before="60" w:after="60"/>
              <w:jc w:val="center"/>
            </w:pPr>
            <w:r w:rsidRPr="007B64E5">
              <w:rPr>
                <w:bCs/>
                <w:sz w:val="18"/>
                <w:szCs w:val="18"/>
                <w:lang w:val="fr-FR"/>
              </w:rPr>
              <w:t xml:space="preserve">Quelle: </w:t>
            </w:r>
            <w:hyperlink r:id="rId13" w:history="1">
              <w:r w:rsidRPr="007B64E5">
                <w:rPr>
                  <w:rStyle w:val="Hyperlink"/>
                  <w:bCs/>
                  <w:sz w:val="18"/>
                  <w:szCs w:val="18"/>
                  <w:lang w:val="fr-FR"/>
                </w:rPr>
                <w:t>http://www.diercke.de/content/klimate-der-erde-nach-köppengeiger-978-3-14-100700-8-229-3-0</w:t>
              </w:r>
            </w:hyperlink>
          </w:p>
          <w:p w:rsidR="004D6FF8" w:rsidRPr="00DD4F73" w:rsidRDefault="004D6FF8" w:rsidP="004D6FF8">
            <w:pPr>
              <w:spacing w:before="60" w:after="60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8B762C" w:rsidTr="007B64E5">
        <w:tc>
          <w:tcPr>
            <w:tcW w:w="9286" w:type="dxa"/>
            <w:vAlign w:val="center"/>
          </w:tcPr>
          <w:p w:rsidR="008B762C" w:rsidRDefault="00B015FE" w:rsidP="004D6FF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 2 </w:t>
            </w:r>
            <w:r w:rsidR="008B762C">
              <w:rPr>
                <w:b/>
              </w:rPr>
              <w:t xml:space="preserve">Klimakarte von Siegmund </w:t>
            </w:r>
            <w:r w:rsidR="004D6FF8">
              <w:rPr>
                <w:b/>
              </w:rPr>
              <w:t>und Frankenberg (1999)</w:t>
            </w:r>
          </w:p>
        </w:tc>
      </w:tr>
      <w:tr w:rsidR="008B762C" w:rsidTr="007B64E5">
        <w:tc>
          <w:tcPr>
            <w:tcW w:w="9286" w:type="dxa"/>
            <w:vAlign w:val="center"/>
          </w:tcPr>
          <w:p w:rsidR="008B762C" w:rsidRDefault="004D6FF8" w:rsidP="004D6FF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963479" cy="339201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makarte Siegmun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89" cy="339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84A" w:rsidRDefault="007B64E5" w:rsidP="007B64E5">
      <w:pPr>
        <w:spacing w:before="60" w:after="60"/>
        <w:jc w:val="center"/>
      </w:pPr>
      <w:r w:rsidRPr="007B64E5">
        <w:rPr>
          <w:bCs/>
          <w:sz w:val="18"/>
          <w:szCs w:val="18"/>
          <w:lang w:val="fr-FR"/>
        </w:rPr>
        <w:t xml:space="preserve">Quelle: </w:t>
      </w:r>
      <w:hyperlink r:id="rId15" w:history="1">
        <w:r w:rsidRPr="007B64E5">
          <w:rPr>
            <w:rStyle w:val="Hyperlink"/>
            <w:bCs/>
            <w:sz w:val="18"/>
            <w:szCs w:val="18"/>
            <w:lang w:val="fr-FR"/>
          </w:rPr>
          <w:t>http://www.diercke.de/content/klimate-der-erde-nach-siegmundfrankenberg-978-3-14-100700-8-226-1-0</w:t>
        </w:r>
      </w:hyperlink>
    </w:p>
    <w:p w:rsidR="00C12423" w:rsidRDefault="00C12423" w:rsidP="00C12423">
      <w:pPr>
        <w:tabs>
          <w:tab w:val="left" w:pos="1089"/>
        </w:tabs>
      </w:pPr>
    </w:p>
    <w:p w:rsidR="00C12423" w:rsidRDefault="00C12423" w:rsidP="00C12423">
      <w:pPr>
        <w:tabs>
          <w:tab w:val="left" w:pos="1089"/>
        </w:tabs>
      </w:pPr>
      <w:r w:rsidRPr="00C12423"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106576" w:rsidRDefault="00C12423" w:rsidP="00C12423">
      <w:pPr>
        <w:tabs>
          <w:tab w:val="left" w:pos="1089"/>
        </w:tabs>
        <w:rPr>
          <w:b/>
        </w:rPr>
      </w:pPr>
      <w:r>
        <w:t xml:space="preserve">ausgenommen: M1 und M2: </w:t>
      </w:r>
      <w:r w:rsidRPr="00C12423">
        <w:t>© westermann, Bildungshaus Schulbuchverlage, Braunschweig</w:t>
      </w:r>
    </w:p>
    <w:p w:rsidR="00106576" w:rsidRDefault="00106576" w:rsidP="00BB548D">
      <w:pPr>
        <w:spacing w:before="60" w:after="60"/>
        <w:jc w:val="center"/>
        <w:rPr>
          <w:b/>
        </w:rPr>
      </w:pPr>
    </w:p>
    <w:p w:rsidR="00C12423" w:rsidRDefault="00B015FE" w:rsidP="00C12423">
      <w:pPr>
        <w:spacing w:before="60" w:after="60"/>
        <w:jc w:val="center"/>
        <w:rPr>
          <w:b/>
        </w:rPr>
      </w:pPr>
      <w:r>
        <w:rPr>
          <w:b/>
        </w:rPr>
        <w:lastRenderedPageBreak/>
        <w:t xml:space="preserve">M 3 </w:t>
      </w:r>
      <w:bookmarkStart w:id="0" w:name="_GoBack"/>
      <w:bookmarkEnd w:id="0"/>
      <w:r w:rsidR="00DA20F6">
        <w:rPr>
          <w:b/>
        </w:rPr>
        <w:t>Siedlungsg</w:t>
      </w:r>
      <w:r w:rsidR="00BB548D">
        <w:rPr>
          <w:b/>
        </w:rPr>
        <w:t>eschichte von Nasarsuaq</w:t>
      </w:r>
    </w:p>
    <w:p w:rsidR="00FB2BE5" w:rsidRDefault="0072408D" w:rsidP="00C12423">
      <w:pPr>
        <w:spacing w:before="60" w:after="60"/>
        <w:jc w:val="center"/>
        <w:rPr>
          <w:bCs/>
        </w:rPr>
      </w:pPr>
      <w:r>
        <w:rPr>
          <w:bCs/>
        </w:rPr>
        <w:t>Nasarsuaq ist ein Ort mit rund 150 Einwohnern. Dass der Ort auch über einen internation</w:t>
      </w:r>
      <w:r>
        <w:rPr>
          <w:bCs/>
        </w:rPr>
        <w:t>a</w:t>
      </w:r>
      <w:r>
        <w:rPr>
          <w:bCs/>
        </w:rPr>
        <w:t>len Flughafen verfügt, verdankt er den US-Amerikaner</w:t>
      </w:r>
      <w:r w:rsidR="009F5BBE">
        <w:rPr>
          <w:bCs/>
        </w:rPr>
        <w:t>n</w:t>
      </w:r>
      <w:r>
        <w:rPr>
          <w:bCs/>
        </w:rPr>
        <w:t xml:space="preserve">: Sie haben hier im Zweiten Weltkrieg eine Militärbasis errichtet, die 1942 in Betrieb genommen wurde. </w:t>
      </w:r>
      <w:r w:rsidR="00E117B4">
        <w:rPr>
          <w:bCs/>
        </w:rPr>
        <w:t>Zeitweilig sollen hier bis zu 4.000 Soldaten stationiert gewesen sein. Nach dem Krieg diente der Flughafen als Auftan</w:t>
      </w:r>
      <w:r w:rsidR="00E117B4">
        <w:rPr>
          <w:bCs/>
        </w:rPr>
        <w:t>k</w:t>
      </w:r>
      <w:r w:rsidR="00E117B4">
        <w:rPr>
          <w:bCs/>
        </w:rPr>
        <w:t xml:space="preserve">station für die Berliner Luftbrücke (1948-49) und während des Koreakrieges (1951-54) wurde hier ein Krankenhaus für die Versorgung der Verwundeten errichtet. </w:t>
      </w:r>
      <w:r w:rsidR="009F5BBE">
        <w:rPr>
          <w:bCs/>
        </w:rPr>
        <w:t>Ab</w:t>
      </w:r>
      <w:r w:rsidR="00E117B4">
        <w:rPr>
          <w:bCs/>
        </w:rPr>
        <w:t xml:space="preserve"> 1951 wurde der Flughafen zusammen mit der dänischen Regierung betrieben. Nach dem Abzug der Amer</w:t>
      </w:r>
      <w:r w:rsidR="00E117B4">
        <w:rPr>
          <w:bCs/>
        </w:rPr>
        <w:t>i</w:t>
      </w:r>
      <w:r w:rsidR="00E117B4">
        <w:rPr>
          <w:bCs/>
        </w:rPr>
        <w:t xml:space="preserve">kaner 1958 </w:t>
      </w:r>
      <w:r w:rsidR="009F5BBE">
        <w:rPr>
          <w:bCs/>
        </w:rPr>
        <w:t xml:space="preserve">haben die Dänen den </w:t>
      </w:r>
      <w:r w:rsidR="00E117B4">
        <w:rPr>
          <w:bCs/>
        </w:rPr>
        <w:t>Flughafen umgebaut und 1959 für die zivile Nutzung g</w:t>
      </w:r>
      <w:r w:rsidR="00E117B4">
        <w:rPr>
          <w:bCs/>
        </w:rPr>
        <w:t>e</w:t>
      </w:r>
      <w:r w:rsidR="00E117B4">
        <w:rPr>
          <w:bCs/>
        </w:rPr>
        <w:t xml:space="preserve">öffnet. Nasarsuaq verfügt heute über ein Hotel und eine Jugendherberge. Flugverbindungen bestehen nach </w:t>
      </w:r>
      <w:r w:rsidR="00404445">
        <w:rPr>
          <w:bCs/>
        </w:rPr>
        <w:t xml:space="preserve">Kopenhagen und </w:t>
      </w:r>
      <w:r w:rsidR="00E117B4">
        <w:rPr>
          <w:bCs/>
        </w:rPr>
        <w:t>R</w:t>
      </w:r>
      <w:r w:rsidR="00404445">
        <w:rPr>
          <w:bCs/>
        </w:rPr>
        <w:t>eykjavík.</w:t>
      </w:r>
    </w:p>
    <w:p w:rsidR="006F4861" w:rsidRDefault="006F4861" w:rsidP="00E117B4">
      <w:pPr>
        <w:spacing w:before="60" w:after="60"/>
        <w:jc w:val="both"/>
        <w:rPr>
          <w:bCs/>
          <w:sz w:val="18"/>
          <w:szCs w:val="18"/>
        </w:rPr>
        <w:sectPr w:rsidR="006F4861" w:rsidSect="006F4861">
          <w:footerReference w:type="default" r:id="rId16"/>
          <w:type w:val="continuous"/>
          <w:pgSz w:w="11906" w:h="16838" w:code="9"/>
          <w:pgMar w:top="1418" w:right="1418" w:bottom="567" w:left="1418" w:header="709" w:footer="709" w:gutter="0"/>
          <w:cols w:space="708"/>
          <w:titlePg/>
          <w:docGrid w:linePitch="360"/>
        </w:sectPr>
      </w:pPr>
    </w:p>
    <w:p w:rsidR="00C66CAD" w:rsidRPr="00162D98" w:rsidRDefault="00C66CAD" w:rsidP="00E117B4">
      <w:pPr>
        <w:spacing w:before="60" w:after="60"/>
        <w:jc w:val="both"/>
        <w:rPr>
          <w:bCs/>
          <w:sz w:val="18"/>
          <w:szCs w:val="18"/>
        </w:rPr>
      </w:pPr>
      <w:r w:rsidRPr="00162D98">
        <w:rPr>
          <w:bCs/>
          <w:sz w:val="18"/>
          <w:szCs w:val="18"/>
        </w:rPr>
        <w:lastRenderedPageBreak/>
        <w:t xml:space="preserve">(Autorentext auf der Grundlage von </w:t>
      </w:r>
      <w:hyperlink r:id="rId17" w:history="1">
        <w:r w:rsidR="0010319E" w:rsidRPr="00162D98">
          <w:rPr>
            <w:rStyle w:val="Hyperlink"/>
            <w:bCs/>
            <w:sz w:val="18"/>
            <w:szCs w:val="18"/>
          </w:rPr>
          <w:t>https://de.wikipedia.org/wiki/Narsarsuaq</w:t>
        </w:r>
      </w:hyperlink>
      <w:r w:rsidR="0010319E" w:rsidRPr="00162D98">
        <w:rPr>
          <w:bCs/>
          <w:sz w:val="18"/>
          <w:szCs w:val="18"/>
        </w:rPr>
        <w:t xml:space="preserve"> </w:t>
      </w:r>
      <w:r w:rsidRPr="00162D98">
        <w:rPr>
          <w:bCs/>
          <w:sz w:val="18"/>
          <w:szCs w:val="18"/>
        </w:rPr>
        <w:t xml:space="preserve">und </w:t>
      </w:r>
      <w:hyperlink r:id="rId18" w:history="1">
        <w:r w:rsidR="00162D98" w:rsidRPr="00C07990">
          <w:rPr>
            <w:rStyle w:val="Hyperlink"/>
            <w:bCs/>
            <w:sz w:val="18"/>
            <w:szCs w:val="18"/>
          </w:rPr>
          <w:t>https://de.wikipedia.org/wiki/ Flughafen_Narsarsuaq</w:t>
        </w:r>
      </w:hyperlink>
      <w:r w:rsidRPr="00162D98">
        <w:rPr>
          <w:bCs/>
          <w:sz w:val="18"/>
          <w:szCs w:val="18"/>
        </w:rPr>
        <w:t xml:space="preserve">) </w:t>
      </w:r>
    </w:p>
    <w:p w:rsidR="00F5187C" w:rsidRDefault="00F5187C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4F3656"/>
    <w:p w:rsidR="00C12423" w:rsidRDefault="00C12423" w:rsidP="00C12423">
      <w:pPr>
        <w:tabs>
          <w:tab w:val="left" w:pos="1089"/>
        </w:tabs>
      </w:pPr>
      <w:r w:rsidRPr="00C12423"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937B60" w:rsidRDefault="00C12423" w:rsidP="00C12423">
      <w:pPr>
        <w:rPr>
          <w:b/>
        </w:rPr>
      </w:pPr>
      <w:r>
        <w:t xml:space="preserve">ausgenommen: M1 und M2: </w:t>
      </w:r>
      <w:r w:rsidRPr="00C12423">
        <w:t>© westermann, Bildungshaus Schulbuchverlage, Braunschweig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4A3005" w:rsidRDefault="004A3005">
      <w:pPr>
        <w:spacing w:line="240" w:lineRule="auto"/>
        <w:rPr>
          <w:b/>
          <w:bCs/>
        </w:rPr>
      </w:pPr>
    </w:p>
    <w:p w:rsidR="004D6FF8" w:rsidRDefault="004D6FF8" w:rsidP="001B77A5">
      <w:pPr>
        <w:spacing w:line="240" w:lineRule="auto"/>
        <w:jc w:val="both"/>
      </w:pPr>
      <w:r>
        <w:t>In den beiden Klimakarten wird mit sehr unterschiedlichen Klassifikationen gearbeitet: Wä</w:t>
      </w:r>
      <w:r>
        <w:t>h</w:t>
      </w:r>
      <w:r>
        <w:t xml:space="preserve">rend Köppen </w:t>
      </w:r>
      <w:r w:rsidR="00106576">
        <w:t xml:space="preserve">und Geiger </w:t>
      </w:r>
      <w:r>
        <w:t xml:space="preserve">sich weitgehend an den wärmsten </w:t>
      </w:r>
      <w:r w:rsidR="00106576">
        <w:t>und kältesten Monaten orienti</w:t>
      </w:r>
      <w:r w:rsidR="00106576">
        <w:t>e</w:t>
      </w:r>
      <w:r w:rsidR="00106576">
        <w:t>ren</w:t>
      </w:r>
      <w:r>
        <w:t>, arbeit</w:t>
      </w:r>
      <w:r w:rsidR="00ED0B9C">
        <w:t xml:space="preserve">en Siegmund und Frankenberg </w:t>
      </w:r>
      <w:r>
        <w:t xml:space="preserve">vornehmlich mit Jahresdurchschnittstemperaturen. Schon deswegen </w:t>
      </w:r>
      <w:r w:rsidR="001B77A5">
        <w:t>lassen sich die beiden Karten hinsichtlich ihrer Zuordnungen von Klimaz</w:t>
      </w:r>
      <w:r w:rsidR="001B77A5">
        <w:t>o</w:t>
      </w:r>
      <w:r w:rsidR="001B77A5">
        <w:t>nen nicht direkt vergleichen</w:t>
      </w:r>
      <w:r>
        <w:t>.</w:t>
      </w:r>
    </w:p>
    <w:p w:rsidR="004D6FF8" w:rsidRDefault="004D6FF8" w:rsidP="004D6FF8">
      <w:pPr>
        <w:spacing w:line="240" w:lineRule="auto"/>
        <w:jc w:val="both"/>
      </w:pPr>
    </w:p>
    <w:p w:rsidR="004D6FF8" w:rsidRDefault="00BB548D" w:rsidP="00106576">
      <w:pPr>
        <w:spacing w:line="240" w:lineRule="auto"/>
        <w:jc w:val="both"/>
      </w:pPr>
      <w:r>
        <w:t xml:space="preserve">Die </w:t>
      </w:r>
      <w:r w:rsidR="00106576">
        <w:t>Effekte</w:t>
      </w:r>
      <w:r>
        <w:t xml:space="preserve"> der unterschiedlichen Klassifikationen auf das Kartenbild </w:t>
      </w:r>
      <w:r w:rsidR="00DA20F6">
        <w:t>sind in Deutschland und Südgrönland entgegengesetzt: Während es in Südgrönland so erscheint, als habe sich der Klima erwärmt (von E nach D), sieht es in Deutschland so aus, als sei es kühler geworden (von C nach D). Die von Siegmund mit dem Begriff Klimawandel unterstellte Temperature</w:t>
      </w:r>
      <w:r w:rsidR="00DA20F6">
        <w:t>r</w:t>
      </w:r>
      <w:r w:rsidR="00DA20F6">
        <w:t>höhu</w:t>
      </w:r>
      <w:r w:rsidR="001B77A5">
        <w:t>ng lässt sich somit nicht</w:t>
      </w:r>
      <w:r w:rsidR="00DA20F6">
        <w:t xml:space="preserve"> aus der Karte ablesen. Ganz im Gegenteil könnte man mit de</w:t>
      </w:r>
      <w:r w:rsidR="00DA20F6">
        <w:t>r</w:t>
      </w:r>
      <w:r w:rsidR="00DA20F6">
        <w:t xml:space="preserve">selben Argumentation eine Temperaturabsenkung belegen.  </w:t>
      </w:r>
    </w:p>
    <w:p w:rsidR="0010319E" w:rsidRDefault="0010319E" w:rsidP="0010319E">
      <w:pPr>
        <w:spacing w:line="240" w:lineRule="auto"/>
        <w:jc w:val="both"/>
      </w:pPr>
    </w:p>
    <w:p w:rsidR="0010319E" w:rsidRDefault="005819DE" w:rsidP="0010319E">
      <w:pPr>
        <w:spacing w:line="240" w:lineRule="auto"/>
        <w:jc w:val="both"/>
      </w:pPr>
      <w:r>
        <w:t>Das Klima der</w:t>
      </w:r>
      <w:r w:rsidR="0010319E">
        <w:t xml:space="preserve"> Station Nasarsuaq</w:t>
      </w:r>
      <w:r>
        <w:t xml:space="preserve"> müsste auch nach Köppen </w:t>
      </w:r>
      <w:r w:rsidR="001B77A5">
        <w:t xml:space="preserve">und Geiger </w:t>
      </w:r>
      <w:r>
        <w:t>den D-Klimaten zugeordnet werden, weil der wärmste Monat eine Durchschnittstemperatur von über 10 C</w:t>
      </w:r>
      <w:r w:rsidRPr="005819DE">
        <w:rPr>
          <w:vertAlign w:val="superscript"/>
        </w:rPr>
        <w:t>o</w:t>
      </w:r>
      <w:r w:rsidR="0010319E">
        <w:t xml:space="preserve"> </w:t>
      </w:r>
      <w:r>
        <w:t>aufweist und der kälteste Monat eine Durchschnittstemperatur von unter -3 C</w:t>
      </w:r>
      <w:r w:rsidRPr="005819DE">
        <w:rPr>
          <w:vertAlign w:val="superscript"/>
        </w:rPr>
        <w:t>o</w:t>
      </w:r>
      <w:r w:rsidR="001B77A5">
        <w:t xml:space="preserve"> (zur Definition der D-Klimate vgl. Legende der Karte im DIERCKE-Atlas)</w:t>
      </w:r>
      <w:r>
        <w:t>. Warum Köppen</w:t>
      </w:r>
      <w:r w:rsidR="001B77A5">
        <w:t xml:space="preserve"> und Geiger</w:t>
      </w:r>
      <w:r>
        <w:t xml:space="preserve"> diese Daten nicht berücksich</w:t>
      </w:r>
      <w:r w:rsidR="001B77A5">
        <w:t>tigt haben</w:t>
      </w:r>
      <w:r>
        <w:t>, ist leicht zu erklären: Die heute noch genutzte Karte v</w:t>
      </w:r>
      <w:r w:rsidR="00F63853">
        <w:t>on Köppen</w:t>
      </w:r>
      <w:r w:rsidR="001B77A5">
        <w:t xml:space="preserve"> und Geiger</w:t>
      </w:r>
      <w:r w:rsidR="00F63853">
        <w:t xml:space="preserve"> ist 1928 erschienen. Die Militärbasis von Nasarsuaq ist </w:t>
      </w:r>
      <w:r>
        <w:t>194</w:t>
      </w:r>
      <w:r w:rsidR="009C6BF2">
        <w:t>2 eröffnet worden. Da Klimastatio</w:t>
      </w:r>
      <w:r w:rsidR="0088077C">
        <w:t>nen in regelmäßigen Abständen mehrmals täglich bedient werden mu</w:t>
      </w:r>
      <w:r w:rsidR="009C6BF2">
        <w:t>ss</w:t>
      </w:r>
      <w:r w:rsidR="0088077C">
        <w:t>t</w:t>
      </w:r>
      <w:r w:rsidR="009C6BF2">
        <w:t>en, was eine minimale Bevölkerung des Ortes voraussetzt, ist davon auszugehen, dass es zu der Zeit, als Köppen</w:t>
      </w:r>
      <w:r w:rsidR="001B77A5">
        <w:t xml:space="preserve"> und Geiger ihre</w:t>
      </w:r>
      <w:r w:rsidR="009C6BF2">
        <w:t xml:space="preserve"> Klimaklassifikation erarbeitete</w:t>
      </w:r>
      <w:r w:rsidR="001B77A5">
        <w:t>n</w:t>
      </w:r>
      <w:r w:rsidR="009C6BF2">
        <w:t>, noch keine Daten aus Nasarsuaq gab.</w:t>
      </w:r>
      <w:r w:rsidR="0088077C">
        <w:t xml:space="preserve"> </w:t>
      </w:r>
      <w:r w:rsidR="00FB2BE5">
        <w:t>Eine analoge Argumentation wäre für die andere Station mit D-Klima, Söndre Strömfjord, vorzubringen.</w:t>
      </w:r>
    </w:p>
    <w:p w:rsidR="0010319E" w:rsidRDefault="0010319E" w:rsidP="0010319E">
      <w:pPr>
        <w:spacing w:line="240" w:lineRule="auto"/>
        <w:jc w:val="both"/>
        <w:rPr>
          <w:b/>
          <w:bCs/>
        </w:rPr>
      </w:pPr>
    </w:p>
    <w:p w:rsidR="00B94BD8" w:rsidRPr="006D7163" w:rsidRDefault="006D7163">
      <w:pPr>
        <w:spacing w:line="240" w:lineRule="auto"/>
        <w:rPr>
          <w:b/>
          <w:bCs/>
        </w:rPr>
      </w:pPr>
      <w:r w:rsidRPr="006D7163">
        <w:rPr>
          <w:b/>
          <w:bCs/>
        </w:rPr>
        <w:t>Anmerkung:</w:t>
      </w:r>
    </w:p>
    <w:p w:rsidR="006D7163" w:rsidRDefault="006D7163">
      <w:pPr>
        <w:spacing w:line="240" w:lineRule="auto"/>
      </w:pPr>
    </w:p>
    <w:p w:rsidR="00BB548D" w:rsidRDefault="00BB548D" w:rsidP="00FC0315">
      <w:pPr>
        <w:spacing w:line="240" w:lineRule="auto"/>
        <w:jc w:val="both"/>
      </w:pPr>
      <w:r>
        <w:t xml:space="preserve">Beide Karten sind mit jeweils ausführlicher Legende in </w:t>
      </w:r>
      <w:r w:rsidR="00A80B58">
        <w:t>der 2015</w:t>
      </w:r>
      <w:r w:rsidR="00FC0315">
        <w:t>er Ausgabe</w:t>
      </w:r>
      <w:r w:rsidR="00CD59E7">
        <w:t xml:space="preserve"> des DIERCKE-Welta</w:t>
      </w:r>
      <w:r>
        <w:t xml:space="preserve">tlas </w:t>
      </w:r>
      <w:r w:rsidR="00B015FE">
        <w:t xml:space="preserve">auf S. 244 und 247 </w:t>
      </w:r>
      <w:r>
        <w:t>abgedruckt.</w:t>
      </w:r>
    </w:p>
    <w:p w:rsidR="0098017D" w:rsidRDefault="0098017D" w:rsidP="00FC0315">
      <w:pPr>
        <w:spacing w:line="240" w:lineRule="auto"/>
        <w:jc w:val="both"/>
      </w:pPr>
    </w:p>
    <w:p w:rsidR="0098017D" w:rsidRDefault="0098017D" w:rsidP="00FC0315">
      <w:pPr>
        <w:spacing w:line="240" w:lineRule="auto"/>
        <w:jc w:val="both"/>
      </w:pPr>
      <w:r>
        <w:t xml:space="preserve">Zur Visualisierung der Lagesituation von Nasarsuaq eignet sich ein Bildausschnitt aus </w:t>
      </w:r>
      <w:r w:rsidR="000E3061">
        <w:br/>
      </w:r>
      <w:r>
        <w:t>Google-Earth.</w:t>
      </w: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FC0315">
      <w:pPr>
        <w:spacing w:line="240" w:lineRule="auto"/>
        <w:jc w:val="both"/>
      </w:pPr>
    </w:p>
    <w:p w:rsidR="00C12423" w:rsidRDefault="00C12423" w:rsidP="00C12423">
      <w:pPr>
        <w:tabs>
          <w:tab w:val="left" w:pos="1089"/>
        </w:tabs>
      </w:pPr>
      <w:r w:rsidRPr="00C12423"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C12423" w:rsidRDefault="00C12423" w:rsidP="00C12423">
      <w:pPr>
        <w:spacing w:line="240" w:lineRule="auto"/>
        <w:jc w:val="both"/>
      </w:pPr>
      <w:r>
        <w:t xml:space="preserve">ausgenommen M1 und M2: </w:t>
      </w:r>
      <w:r w:rsidRPr="00C12423">
        <w:t>© westermann, Bildungshaus Schulbuchverlage, Braunschweig</w:t>
      </w:r>
    </w:p>
    <w:sectPr w:rsidR="00C12423" w:rsidSect="006F4861">
      <w:type w:val="continuous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69" w:rsidRDefault="00FA6C69" w:rsidP="00837EC7">
      <w:pPr>
        <w:spacing w:line="240" w:lineRule="auto"/>
      </w:pPr>
      <w:r>
        <w:separator/>
      </w:r>
    </w:p>
  </w:endnote>
  <w:endnote w:type="continuationSeparator" w:id="0">
    <w:p w:rsidR="00FA6C69" w:rsidRDefault="00FA6C6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F7686">
          <w:fldChar w:fldCharType="begin"/>
        </w:r>
        <w:r w:rsidR="006140E1">
          <w:instrText xml:space="preserve"> PAGE   \* MERGEFORMAT </w:instrText>
        </w:r>
        <w:r w:rsidR="009F7686">
          <w:fldChar w:fldCharType="separate"/>
        </w:r>
        <w:r w:rsidR="0001304D">
          <w:rPr>
            <w:noProof/>
          </w:rPr>
          <w:t>2</w:t>
        </w:r>
        <w:r w:rsidR="009F768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1916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F7686">
          <w:fldChar w:fldCharType="begin"/>
        </w:r>
        <w:r w:rsidR="006140E1">
          <w:instrText xml:space="preserve"> PAGE   \* MERGEFORMAT </w:instrText>
        </w:r>
        <w:r w:rsidR="009F7686">
          <w:fldChar w:fldCharType="separate"/>
        </w:r>
        <w:r w:rsidR="0001304D">
          <w:rPr>
            <w:noProof/>
          </w:rPr>
          <w:t>3</w:t>
        </w:r>
        <w:r w:rsidR="009F7686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710"/>
      <w:docPartObj>
        <w:docPartGallery w:val="Page Numbers (Bottom of Page)"/>
        <w:docPartUnique/>
      </w:docPartObj>
    </w:sdtPr>
    <w:sdtContent>
      <w:p w:rsidR="00C12423" w:rsidRDefault="00C12423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1304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69" w:rsidRDefault="00FA6C69" w:rsidP="00837EC7">
      <w:pPr>
        <w:spacing w:line="240" w:lineRule="auto"/>
      </w:pPr>
      <w:r>
        <w:separator/>
      </w:r>
    </w:p>
  </w:footnote>
  <w:footnote w:type="continuationSeparator" w:id="0">
    <w:p w:rsidR="00FA6C69" w:rsidRDefault="00FA6C6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1620E"/>
    <w:multiLevelType w:val="hybridMultilevel"/>
    <w:tmpl w:val="3D4CED92"/>
    <w:lvl w:ilvl="0" w:tplc="3C085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39AA"/>
    <w:multiLevelType w:val="hybridMultilevel"/>
    <w:tmpl w:val="D2989C72"/>
    <w:lvl w:ilvl="0" w:tplc="544685F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C6E7D"/>
    <w:rsid w:val="0001304D"/>
    <w:rsid w:val="0004165F"/>
    <w:rsid w:val="000679BF"/>
    <w:rsid w:val="000708BF"/>
    <w:rsid w:val="00074C4B"/>
    <w:rsid w:val="00084040"/>
    <w:rsid w:val="000A2A61"/>
    <w:rsid w:val="000A4B8B"/>
    <w:rsid w:val="000E3061"/>
    <w:rsid w:val="0010319E"/>
    <w:rsid w:val="00106576"/>
    <w:rsid w:val="00133562"/>
    <w:rsid w:val="00136172"/>
    <w:rsid w:val="00142DFA"/>
    <w:rsid w:val="00155F4E"/>
    <w:rsid w:val="00162D98"/>
    <w:rsid w:val="001634E6"/>
    <w:rsid w:val="00163D87"/>
    <w:rsid w:val="001663E6"/>
    <w:rsid w:val="00185133"/>
    <w:rsid w:val="001A71B9"/>
    <w:rsid w:val="001B043E"/>
    <w:rsid w:val="001B77A5"/>
    <w:rsid w:val="001C3197"/>
    <w:rsid w:val="001E21D0"/>
    <w:rsid w:val="001E7774"/>
    <w:rsid w:val="001F319E"/>
    <w:rsid w:val="00202F49"/>
    <w:rsid w:val="00206E1F"/>
    <w:rsid w:val="0021665E"/>
    <w:rsid w:val="00230B14"/>
    <w:rsid w:val="002348B8"/>
    <w:rsid w:val="002A04B8"/>
    <w:rsid w:val="002A2294"/>
    <w:rsid w:val="002B14FC"/>
    <w:rsid w:val="002D3F70"/>
    <w:rsid w:val="002D55C9"/>
    <w:rsid w:val="002E15B5"/>
    <w:rsid w:val="002E1682"/>
    <w:rsid w:val="002F3C8C"/>
    <w:rsid w:val="002F5454"/>
    <w:rsid w:val="00300E1A"/>
    <w:rsid w:val="00321743"/>
    <w:rsid w:val="00334567"/>
    <w:rsid w:val="00363539"/>
    <w:rsid w:val="0036565A"/>
    <w:rsid w:val="00372140"/>
    <w:rsid w:val="00381AB2"/>
    <w:rsid w:val="003C3094"/>
    <w:rsid w:val="003E03B2"/>
    <w:rsid w:val="003F14C0"/>
    <w:rsid w:val="003F4234"/>
    <w:rsid w:val="0040115E"/>
    <w:rsid w:val="00404445"/>
    <w:rsid w:val="004072A0"/>
    <w:rsid w:val="00411347"/>
    <w:rsid w:val="00421CE5"/>
    <w:rsid w:val="00445672"/>
    <w:rsid w:val="00454487"/>
    <w:rsid w:val="00467ABE"/>
    <w:rsid w:val="004851BE"/>
    <w:rsid w:val="0049671A"/>
    <w:rsid w:val="00496D76"/>
    <w:rsid w:val="004A3005"/>
    <w:rsid w:val="004B39E4"/>
    <w:rsid w:val="004C485B"/>
    <w:rsid w:val="004C5D31"/>
    <w:rsid w:val="004D6FF8"/>
    <w:rsid w:val="004F3656"/>
    <w:rsid w:val="005052CB"/>
    <w:rsid w:val="0052554E"/>
    <w:rsid w:val="00526028"/>
    <w:rsid w:val="00537A2A"/>
    <w:rsid w:val="00555A0D"/>
    <w:rsid w:val="005819DE"/>
    <w:rsid w:val="005960DF"/>
    <w:rsid w:val="005C16CC"/>
    <w:rsid w:val="005C4443"/>
    <w:rsid w:val="005F16AB"/>
    <w:rsid w:val="005F1ACA"/>
    <w:rsid w:val="0060356D"/>
    <w:rsid w:val="00611C23"/>
    <w:rsid w:val="006140E1"/>
    <w:rsid w:val="0065323E"/>
    <w:rsid w:val="00661438"/>
    <w:rsid w:val="00677337"/>
    <w:rsid w:val="006840B3"/>
    <w:rsid w:val="006A22F8"/>
    <w:rsid w:val="006A599E"/>
    <w:rsid w:val="006C713F"/>
    <w:rsid w:val="006D084A"/>
    <w:rsid w:val="006D5EEA"/>
    <w:rsid w:val="006D7163"/>
    <w:rsid w:val="006D719E"/>
    <w:rsid w:val="006D7F9C"/>
    <w:rsid w:val="006E3F71"/>
    <w:rsid w:val="006F4861"/>
    <w:rsid w:val="006F79D3"/>
    <w:rsid w:val="007024FB"/>
    <w:rsid w:val="00721743"/>
    <w:rsid w:val="0072408D"/>
    <w:rsid w:val="007357B6"/>
    <w:rsid w:val="007621DD"/>
    <w:rsid w:val="00784289"/>
    <w:rsid w:val="007B64E5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077C"/>
    <w:rsid w:val="008A037C"/>
    <w:rsid w:val="008A1768"/>
    <w:rsid w:val="008B1D49"/>
    <w:rsid w:val="008B6E6E"/>
    <w:rsid w:val="008B762C"/>
    <w:rsid w:val="008C14FA"/>
    <w:rsid w:val="008E2ED1"/>
    <w:rsid w:val="008E7D45"/>
    <w:rsid w:val="008F78E6"/>
    <w:rsid w:val="00916A92"/>
    <w:rsid w:val="00937B60"/>
    <w:rsid w:val="0095558E"/>
    <w:rsid w:val="00964090"/>
    <w:rsid w:val="00964E15"/>
    <w:rsid w:val="00971722"/>
    <w:rsid w:val="0098017D"/>
    <w:rsid w:val="00992F12"/>
    <w:rsid w:val="009A1D85"/>
    <w:rsid w:val="009C6BF2"/>
    <w:rsid w:val="009F42E4"/>
    <w:rsid w:val="009F4EA9"/>
    <w:rsid w:val="009F5BBE"/>
    <w:rsid w:val="009F7686"/>
    <w:rsid w:val="00A0101C"/>
    <w:rsid w:val="00A011BC"/>
    <w:rsid w:val="00A17707"/>
    <w:rsid w:val="00A20523"/>
    <w:rsid w:val="00A3652B"/>
    <w:rsid w:val="00A366CC"/>
    <w:rsid w:val="00A53238"/>
    <w:rsid w:val="00A57E9B"/>
    <w:rsid w:val="00A804F8"/>
    <w:rsid w:val="00A80B58"/>
    <w:rsid w:val="00A828A1"/>
    <w:rsid w:val="00A973E5"/>
    <w:rsid w:val="00AB509B"/>
    <w:rsid w:val="00AD39E6"/>
    <w:rsid w:val="00AE2D84"/>
    <w:rsid w:val="00AE3A55"/>
    <w:rsid w:val="00AF7156"/>
    <w:rsid w:val="00B015FE"/>
    <w:rsid w:val="00B334DF"/>
    <w:rsid w:val="00B542E5"/>
    <w:rsid w:val="00B80807"/>
    <w:rsid w:val="00B8596D"/>
    <w:rsid w:val="00B94BD8"/>
    <w:rsid w:val="00BA260F"/>
    <w:rsid w:val="00BB548D"/>
    <w:rsid w:val="00BB7949"/>
    <w:rsid w:val="00BC763D"/>
    <w:rsid w:val="00BD7E76"/>
    <w:rsid w:val="00BE7704"/>
    <w:rsid w:val="00BF22FF"/>
    <w:rsid w:val="00BF2994"/>
    <w:rsid w:val="00BF4880"/>
    <w:rsid w:val="00C01D4F"/>
    <w:rsid w:val="00C12423"/>
    <w:rsid w:val="00C14DC5"/>
    <w:rsid w:val="00C16860"/>
    <w:rsid w:val="00C2632F"/>
    <w:rsid w:val="00C47F23"/>
    <w:rsid w:val="00C5113E"/>
    <w:rsid w:val="00C6552D"/>
    <w:rsid w:val="00C66CAD"/>
    <w:rsid w:val="00C94D36"/>
    <w:rsid w:val="00CB3549"/>
    <w:rsid w:val="00CC06D2"/>
    <w:rsid w:val="00CC6E7D"/>
    <w:rsid w:val="00CD59E7"/>
    <w:rsid w:val="00CF5FF9"/>
    <w:rsid w:val="00D0707C"/>
    <w:rsid w:val="00D226DE"/>
    <w:rsid w:val="00D270BC"/>
    <w:rsid w:val="00D41BE0"/>
    <w:rsid w:val="00D5644B"/>
    <w:rsid w:val="00D873CC"/>
    <w:rsid w:val="00D922C3"/>
    <w:rsid w:val="00D947BB"/>
    <w:rsid w:val="00DA20F6"/>
    <w:rsid w:val="00DB67C2"/>
    <w:rsid w:val="00DC1669"/>
    <w:rsid w:val="00DC762A"/>
    <w:rsid w:val="00DD0C30"/>
    <w:rsid w:val="00DD4F73"/>
    <w:rsid w:val="00DF308F"/>
    <w:rsid w:val="00DF406E"/>
    <w:rsid w:val="00DF7F97"/>
    <w:rsid w:val="00E117B4"/>
    <w:rsid w:val="00E16A0E"/>
    <w:rsid w:val="00E16B27"/>
    <w:rsid w:val="00E17560"/>
    <w:rsid w:val="00E41C73"/>
    <w:rsid w:val="00E579BF"/>
    <w:rsid w:val="00E72519"/>
    <w:rsid w:val="00E84ADD"/>
    <w:rsid w:val="00E85DB9"/>
    <w:rsid w:val="00E86529"/>
    <w:rsid w:val="00EA2B17"/>
    <w:rsid w:val="00EA4734"/>
    <w:rsid w:val="00EA5291"/>
    <w:rsid w:val="00EB070D"/>
    <w:rsid w:val="00EC1F75"/>
    <w:rsid w:val="00EC51CF"/>
    <w:rsid w:val="00EC68C4"/>
    <w:rsid w:val="00ED0B9C"/>
    <w:rsid w:val="00ED0EC3"/>
    <w:rsid w:val="00F0769B"/>
    <w:rsid w:val="00F17F92"/>
    <w:rsid w:val="00F2257F"/>
    <w:rsid w:val="00F372D1"/>
    <w:rsid w:val="00F5187C"/>
    <w:rsid w:val="00F63853"/>
    <w:rsid w:val="00F86862"/>
    <w:rsid w:val="00F94440"/>
    <w:rsid w:val="00FA0BB9"/>
    <w:rsid w:val="00FA6C69"/>
    <w:rsid w:val="00FB2BE5"/>
    <w:rsid w:val="00FB49CE"/>
    <w:rsid w:val="00FC0315"/>
    <w:rsid w:val="00FE1B28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MittleresRaster2">
    <w:name w:val="Medium Grid 2"/>
    <w:basedOn w:val="NormaleTabelle"/>
    <w:uiPriority w:val="68"/>
    <w:rsid w:val="006D7163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unhideWhenUsed/>
    <w:rsid w:val="00C66CAD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10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MittleresRaster2">
    <w:name w:val="Medium Grid 2"/>
    <w:basedOn w:val="NormaleTabelle"/>
    <w:uiPriority w:val="68"/>
    <w:rsid w:val="006D7163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unhideWhenUsed/>
    <w:rsid w:val="00C66CAD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1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iercke.de/content/klimate-der-erde-nach-k&#246;ppengeiger-978-3-14-100700-8-229-3-0" TargetMode="External"/><Relationship Id="rId18" Type="http://schemas.openxmlformats.org/officeDocument/2006/relationships/hyperlink" Target="https://de.wikipedia.org/wiki/%20Flughafen_Narsarsuaq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de.wikipedia.org/wiki/Narsarsuaq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iercke.de/content/klimate-der-erde-nach-siegmundfrankenberg-978-3-14-100700-8-226-1-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F7966-0681-4205-83EB-17025BF7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Witt-S</dc:creator>
  <cp:lastModifiedBy>Haertel</cp:lastModifiedBy>
  <cp:revision>3</cp:revision>
  <dcterms:created xsi:type="dcterms:W3CDTF">2016-02-18T13:35:00Z</dcterms:created>
  <dcterms:modified xsi:type="dcterms:W3CDTF">2016-02-18T13:40:00Z</dcterms:modified>
</cp:coreProperties>
</file>