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32706B">
      <w:pPr>
        <w:spacing w:after="120"/>
        <w:jc w:val="both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80807">
      <w:pPr>
        <w:spacing w:after="120"/>
        <w:jc w:val="both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992F12" w:rsidP="00042D41">
            <w:pPr>
              <w:spacing w:before="200" w:after="200"/>
            </w:pPr>
            <w:r>
              <w:t>Geogra</w:t>
            </w:r>
            <w:r w:rsidR="00042D41">
              <w:t>f</w:t>
            </w:r>
            <w:r>
              <w:t>ie</w:t>
            </w:r>
          </w:p>
        </w:tc>
      </w:tr>
      <w:tr w:rsidR="00646606" w:rsidRPr="008119C5" w:rsidTr="00C16860">
        <w:tc>
          <w:tcPr>
            <w:tcW w:w="2802" w:type="dxa"/>
          </w:tcPr>
          <w:p w:rsidR="00646606" w:rsidRPr="008119C5" w:rsidRDefault="00646606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646606" w:rsidRPr="008A1768" w:rsidRDefault="00646606" w:rsidP="004E15FD">
            <w:pPr>
              <w:tabs>
                <w:tab w:val="left" w:pos="1373"/>
              </w:tabs>
              <w:spacing w:before="200" w:after="200"/>
            </w:pPr>
            <w:r>
              <w:t>Urteilen (Geo K-2.5)</w:t>
            </w:r>
          </w:p>
        </w:tc>
      </w:tr>
      <w:tr w:rsidR="00646606" w:rsidRPr="008119C5" w:rsidTr="00C16860">
        <w:tc>
          <w:tcPr>
            <w:tcW w:w="2802" w:type="dxa"/>
          </w:tcPr>
          <w:p w:rsidR="00646606" w:rsidRPr="008119C5" w:rsidRDefault="00646606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646606" w:rsidRPr="008A1768" w:rsidRDefault="00646606" w:rsidP="00042D41">
            <w:pPr>
              <w:tabs>
                <w:tab w:val="left" w:pos="1190"/>
              </w:tabs>
              <w:spacing w:before="200" w:after="200"/>
            </w:pPr>
            <w:r>
              <w:t>Situationen/Sachverhalte/Prozesse im Raum unter Anwe</w:t>
            </w:r>
            <w:r w:rsidR="00042D41">
              <w:t>ndung geograf</w:t>
            </w:r>
            <w:r>
              <w:t xml:space="preserve">ischer Kenntnisse und Methoden beurteilen </w:t>
            </w:r>
            <w:r>
              <w:br/>
              <w:t>(Sachurteil)</w:t>
            </w:r>
          </w:p>
        </w:tc>
      </w:tr>
      <w:tr w:rsidR="00646606" w:rsidRPr="008119C5" w:rsidTr="00C16860">
        <w:tc>
          <w:tcPr>
            <w:tcW w:w="2802" w:type="dxa"/>
          </w:tcPr>
          <w:p w:rsidR="00646606" w:rsidRPr="008119C5" w:rsidRDefault="00646606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646606" w:rsidRPr="008A1768" w:rsidRDefault="00646606" w:rsidP="00BE7704">
            <w:pPr>
              <w:tabs>
                <w:tab w:val="left" w:pos="1190"/>
              </w:tabs>
              <w:spacing w:before="200" w:after="200"/>
            </w:pPr>
            <w:r>
              <w:t>E-F</w:t>
            </w:r>
          </w:p>
        </w:tc>
      </w:tr>
      <w:tr w:rsidR="00646606" w:rsidRPr="008119C5" w:rsidTr="00C16860">
        <w:tc>
          <w:tcPr>
            <w:tcW w:w="2802" w:type="dxa"/>
          </w:tcPr>
          <w:p w:rsidR="00646606" w:rsidRDefault="00646606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46606" w:rsidRPr="008A1768" w:rsidRDefault="00646606" w:rsidP="00646606">
            <w:pPr>
              <w:tabs>
                <w:tab w:val="left" w:pos="1190"/>
              </w:tabs>
              <w:spacing w:before="200" w:after="200"/>
            </w:pPr>
            <w:r>
              <w:t>Die Schülerinnen und Schüler können Situationen/Sachverhalte sowie Entwicklungen/Prozesse aus der Pro- und Kontrape</w:t>
            </w:r>
            <w:r>
              <w:t>r</w:t>
            </w:r>
            <w:r>
              <w:t>spektive darstellen.</w:t>
            </w:r>
          </w:p>
        </w:tc>
      </w:tr>
      <w:tr w:rsidR="00646606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646606" w:rsidRPr="008119C5" w:rsidRDefault="00646606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46606" w:rsidRDefault="00646606" w:rsidP="00992F12">
            <w:pPr>
              <w:tabs>
                <w:tab w:val="left" w:pos="1190"/>
              </w:tabs>
              <w:spacing w:before="200" w:after="200"/>
            </w:pPr>
            <w:r>
              <w:t>3.6 Klimawandel und Klimaschutz als Beispiel für internationale Konflikte und Konfliktlösungen</w:t>
            </w:r>
          </w:p>
          <w:p w:rsidR="00646606" w:rsidRPr="00202F49" w:rsidRDefault="001A15B7" w:rsidP="00321743">
            <w:pPr>
              <w:tabs>
                <w:tab w:val="left" w:pos="1190"/>
              </w:tabs>
              <w:spacing w:before="200" w:after="200"/>
            </w:pPr>
            <w:r>
              <w:t xml:space="preserve">Mögliches </w:t>
            </w:r>
            <w:r w:rsidR="00646606">
              <w:t>Thema: Klimaschutz und Nachhaltigkeit, Anpassung an den Klimawandel</w:t>
            </w:r>
          </w:p>
        </w:tc>
      </w:tr>
      <w:tr w:rsidR="00646606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646606" w:rsidRDefault="00646606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1A15B7" w:rsidRDefault="001A15B7" w:rsidP="001A15B7">
            <w:pPr>
              <w:tabs>
                <w:tab w:val="left" w:pos="1190"/>
              </w:tabs>
              <w:spacing w:before="200" w:after="200"/>
            </w:pPr>
            <w:r>
              <w:t>BC Sprachbildung: Texte verstehen und nutzen</w:t>
            </w:r>
          </w:p>
          <w:p w:rsidR="001A15B7" w:rsidRDefault="001A15B7" w:rsidP="001A15B7">
            <w:pPr>
              <w:tabs>
                <w:tab w:val="left" w:pos="1190"/>
              </w:tabs>
              <w:spacing w:before="200" w:after="200"/>
            </w:pPr>
          </w:p>
          <w:p w:rsidR="00646606" w:rsidRPr="0021665E" w:rsidRDefault="00646606" w:rsidP="001A15B7">
            <w:pPr>
              <w:tabs>
                <w:tab w:val="left" w:pos="1190"/>
              </w:tabs>
              <w:spacing w:before="200" w:after="200"/>
            </w:pPr>
            <w:r>
              <w:t>ÜT</w:t>
            </w:r>
            <w:r w:rsidR="001A15B7">
              <w:t>:</w:t>
            </w:r>
            <w:r>
              <w:t xml:space="preserve"> Nachhaltige Entwicklung/Lernen in globalen Zusamme</w:t>
            </w:r>
            <w:r>
              <w:t>n</w:t>
            </w:r>
            <w:r>
              <w:t>hängen (3.10)</w:t>
            </w:r>
          </w:p>
        </w:tc>
      </w:tr>
      <w:tr w:rsidR="00646606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646606" w:rsidRDefault="00646606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46606" w:rsidRPr="00202F49" w:rsidRDefault="001A15B7" w:rsidP="001A15B7">
            <w:pPr>
              <w:tabs>
                <w:tab w:val="left" w:pos="1190"/>
              </w:tabs>
              <w:spacing w:before="200" w:after="200"/>
            </w:pPr>
            <w:r>
              <w:t>BC Sprachbildung:  Die Schülerinnen und Schüler können I</w:t>
            </w:r>
            <w:r>
              <w:t>n</w:t>
            </w:r>
            <w:r>
              <w:t>formationen verschiedener Texte vergleichen (D) und bewerten (G)</w:t>
            </w:r>
          </w:p>
        </w:tc>
      </w:tr>
      <w:tr w:rsidR="00646606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646606" w:rsidRPr="008119C5" w:rsidRDefault="00646606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646606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646606" w:rsidRPr="008119C5" w:rsidRDefault="00646606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646606" w:rsidRPr="008119C5" w:rsidRDefault="00646606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646606" w:rsidRPr="001E7774" w:rsidRDefault="00646606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1E7774">
              <w:rPr>
                <w:b/>
              </w:rPr>
              <w:t>geschlossen</w:t>
            </w:r>
            <w:r w:rsidRPr="001E7774">
              <w:rPr>
                <w:b/>
              </w:rPr>
              <w:tab/>
            </w:r>
          </w:p>
        </w:tc>
      </w:tr>
      <w:tr w:rsidR="00646606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646606" w:rsidRPr="008119C5" w:rsidRDefault="00646606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lastRenderedPageBreak/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646606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646606" w:rsidRPr="008119C5" w:rsidRDefault="00646606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646606" w:rsidRPr="008119C5" w:rsidRDefault="00646606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646606" w:rsidRPr="008119C5" w:rsidRDefault="00646606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646606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646606" w:rsidRDefault="00646606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646606" w:rsidRPr="008A1768" w:rsidRDefault="00646606" w:rsidP="00321743">
            <w:pPr>
              <w:spacing w:before="200" w:after="200"/>
            </w:pPr>
            <w:r>
              <w:t>Kohlendioxidemissionen, wirtschaftliche Entwicklung, Deutsc</w:t>
            </w:r>
            <w:r>
              <w:t>h</w:t>
            </w:r>
            <w:r>
              <w:t>land, China, Diversität, Wandel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36565A" w:rsidRDefault="0036565A" w:rsidP="00BF22FF">
      <w:pPr>
        <w:spacing w:before="60" w:after="60"/>
        <w:rPr>
          <w:b/>
        </w:rPr>
      </w:pPr>
    </w:p>
    <w:p w:rsidR="0036565A" w:rsidRDefault="0036565A" w:rsidP="0036565A">
      <w:pPr>
        <w:spacing w:before="60" w:after="60"/>
        <w:rPr>
          <w:b/>
        </w:rPr>
      </w:pPr>
      <w:r>
        <w:rPr>
          <w:b/>
        </w:rPr>
        <w:t>Aufgabe:</w:t>
      </w:r>
    </w:p>
    <w:p w:rsidR="00992F12" w:rsidRDefault="00992F12" w:rsidP="00BF22FF">
      <w:pPr>
        <w:spacing w:before="60" w:after="60"/>
        <w:rPr>
          <w:b/>
        </w:rPr>
      </w:pPr>
    </w:p>
    <w:p w:rsidR="00222C11" w:rsidRPr="00931DB9" w:rsidRDefault="00222C11" w:rsidP="00B80807">
      <w:pPr>
        <w:spacing w:before="60" w:after="60"/>
        <w:jc w:val="both"/>
        <w:rPr>
          <w:b/>
          <w:i/>
          <w:iCs/>
        </w:rPr>
      </w:pPr>
      <w:r w:rsidRPr="00931DB9">
        <w:rPr>
          <w:b/>
          <w:i/>
          <w:iCs/>
        </w:rPr>
        <w:t>Situation:</w:t>
      </w:r>
    </w:p>
    <w:p w:rsidR="00445FB2" w:rsidRDefault="008B04EE" w:rsidP="00222C11">
      <w:pPr>
        <w:spacing w:before="60" w:after="60"/>
        <w:jc w:val="both"/>
        <w:rPr>
          <w:bCs/>
        </w:rPr>
      </w:pPr>
      <w:r>
        <w:rPr>
          <w:bCs/>
        </w:rPr>
        <w:t xml:space="preserve">China gilt – zusammen mit den USA – als </w:t>
      </w:r>
      <w:r w:rsidR="00222C11">
        <w:rPr>
          <w:bCs/>
        </w:rPr>
        <w:t>„</w:t>
      </w:r>
      <w:r w:rsidR="00445FB2">
        <w:rPr>
          <w:bCs/>
        </w:rPr>
        <w:t>Bremser</w:t>
      </w:r>
      <w:r w:rsidR="00222C11">
        <w:rPr>
          <w:bCs/>
        </w:rPr>
        <w:t>“</w:t>
      </w:r>
      <w:r w:rsidR="00445FB2">
        <w:rPr>
          <w:bCs/>
        </w:rPr>
        <w:t xml:space="preserve"> in der Klimapolitik. Zu einer Reduktion von Treibhausgasen hat es sich bisher nicht verpflichtet. Im November 2014 gab die chines</w:t>
      </w:r>
      <w:r w:rsidR="00445FB2">
        <w:rPr>
          <w:bCs/>
        </w:rPr>
        <w:t>i</w:t>
      </w:r>
      <w:r w:rsidR="00445FB2">
        <w:rPr>
          <w:bCs/>
        </w:rPr>
        <w:t xml:space="preserve">sche Regierung das Ziel </w:t>
      </w:r>
      <w:r w:rsidR="001D06E4">
        <w:rPr>
          <w:bCs/>
        </w:rPr>
        <w:t>bekannt, 2030 den Höchststand beim</w:t>
      </w:r>
      <w:r w:rsidR="00445FB2">
        <w:rPr>
          <w:bCs/>
        </w:rPr>
        <w:t xml:space="preserve"> CO</w:t>
      </w:r>
      <w:r w:rsidR="00445FB2" w:rsidRPr="00445FB2">
        <w:rPr>
          <w:bCs/>
          <w:vertAlign w:val="subscript"/>
        </w:rPr>
        <w:t>2</w:t>
      </w:r>
      <w:r w:rsidR="00445FB2">
        <w:rPr>
          <w:bCs/>
        </w:rPr>
        <w:t>-Ausstoß erreichen zu wollen.</w:t>
      </w:r>
    </w:p>
    <w:p w:rsidR="008B04EE" w:rsidRDefault="008B04EE" w:rsidP="00222C11">
      <w:pPr>
        <w:spacing w:before="60" w:after="60"/>
        <w:jc w:val="both"/>
      </w:pPr>
      <w:r>
        <w:rPr>
          <w:bCs/>
        </w:rPr>
        <w:t xml:space="preserve">Deutschland gilt dagegen als </w:t>
      </w:r>
      <w:r w:rsidR="00222C11">
        <w:rPr>
          <w:bCs/>
        </w:rPr>
        <w:t>„</w:t>
      </w:r>
      <w:r>
        <w:rPr>
          <w:bCs/>
        </w:rPr>
        <w:t>Vorreiter</w:t>
      </w:r>
      <w:r w:rsidR="00222C11">
        <w:rPr>
          <w:bCs/>
        </w:rPr>
        <w:t>“</w:t>
      </w:r>
      <w:r>
        <w:rPr>
          <w:bCs/>
        </w:rPr>
        <w:t xml:space="preserve">. </w:t>
      </w:r>
      <w:r w:rsidR="006E3A54">
        <w:rPr>
          <w:bCs/>
        </w:rPr>
        <w:t>Es hat das 1997</w:t>
      </w:r>
      <w:r w:rsidR="00C0683D">
        <w:rPr>
          <w:bCs/>
        </w:rPr>
        <w:t xml:space="preserve"> auf der Klimakonferenz in Kyoto beschlossene Ziel, </w:t>
      </w:r>
      <w:r w:rsidR="00C0683D">
        <w:t>den CO</w:t>
      </w:r>
      <w:r w:rsidR="00C0683D" w:rsidRPr="006E3A54">
        <w:rPr>
          <w:vertAlign w:val="subscript"/>
        </w:rPr>
        <w:t>2</w:t>
      </w:r>
      <w:r w:rsidR="006E3A54">
        <w:t>-Ausstoß im Vergleich zu 1999</w:t>
      </w:r>
      <w:r w:rsidR="00C0683D">
        <w:t xml:space="preserve"> bis 2012 um 21 Prozent zu </w:t>
      </w:r>
      <w:r w:rsidR="006E3A54">
        <w:t>se</w:t>
      </w:r>
      <w:r w:rsidR="006E3A54">
        <w:t>n</w:t>
      </w:r>
      <w:r w:rsidR="006E3A54">
        <w:t>ken</w:t>
      </w:r>
      <w:r w:rsidR="00C0683D">
        <w:t xml:space="preserve">, mit einer </w:t>
      </w:r>
      <w:r w:rsidR="006E3A54">
        <w:t>Verringerung</w:t>
      </w:r>
      <w:r w:rsidR="00C0683D">
        <w:t xml:space="preserve"> von rund 26 Pro</w:t>
      </w:r>
      <w:r w:rsidR="006E3A54">
        <w:t xml:space="preserve">zent </w:t>
      </w:r>
      <w:r w:rsidR="00C0683D">
        <w:t>übertroffen.</w:t>
      </w:r>
    </w:p>
    <w:p w:rsidR="00222C11" w:rsidRDefault="00222C11" w:rsidP="00222C11">
      <w:pPr>
        <w:spacing w:before="60" w:after="60"/>
        <w:jc w:val="both"/>
      </w:pPr>
      <w:r>
        <w:t>(Quelle: Autorentext)</w:t>
      </w:r>
    </w:p>
    <w:p w:rsidR="00222C11" w:rsidRDefault="00222C11" w:rsidP="006E3A54">
      <w:pPr>
        <w:spacing w:before="60" w:after="60"/>
        <w:jc w:val="both"/>
        <w:rPr>
          <w:bCs/>
        </w:rPr>
      </w:pPr>
    </w:p>
    <w:p w:rsidR="00992F12" w:rsidRPr="00B80807" w:rsidRDefault="00445FB2" w:rsidP="0065358B">
      <w:pPr>
        <w:spacing w:before="60" w:after="60"/>
        <w:jc w:val="both"/>
        <w:rPr>
          <w:bCs/>
        </w:rPr>
      </w:pPr>
      <w:r>
        <w:rPr>
          <w:bCs/>
        </w:rPr>
        <w:t xml:space="preserve">Analysiere die in den Graphiken </w:t>
      </w:r>
      <w:r w:rsidR="0065358B">
        <w:rPr>
          <w:bCs/>
        </w:rPr>
        <w:t>dar</w:t>
      </w:r>
      <w:r w:rsidR="0069641C">
        <w:rPr>
          <w:bCs/>
        </w:rPr>
        <w:t>ge</w:t>
      </w:r>
      <w:r w:rsidR="0065358B">
        <w:rPr>
          <w:bCs/>
        </w:rPr>
        <w:t xml:space="preserve">stellten Daten </w:t>
      </w:r>
      <w:r>
        <w:rPr>
          <w:bCs/>
        </w:rPr>
        <w:t>und beurteile sie hinsichtlich der Frage, ob China tatsäch</w:t>
      </w:r>
      <w:r w:rsidR="0065358B">
        <w:rPr>
          <w:bCs/>
        </w:rPr>
        <w:t>lich der Klimasünder</w:t>
      </w:r>
      <w:r>
        <w:rPr>
          <w:bCs/>
        </w:rPr>
        <w:t xml:space="preserve"> </w:t>
      </w:r>
      <w:r w:rsidR="006E3A54">
        <w:rPr>
          <w:bCs/>
        </w:rPr>
        <w:t xml:space="preserve">ist </w:t>
      </w:r>
      <w:r>
        <w:rPr>
          <w:bCs/>
        </w:rPr>
        <w:t>und</w:t>
      </w:r>
      <w:r w:rsidR="0065358B">
        <w:rPr>
          <w:bCs/>
        </w:rPr>
        <w:t xml:space="preserve"> Deutschland das Vorbild</w:t>
      </w:r>
      <w:r>
        <w:rPr>
          <w:bCs/>
        </w:rPr>
        <w:t>.</w:t>
      </w:r>
    </w:p>
    <w:p w:rsidR="00916A92" w:rsidRDefault="00916A92" w:rsidP="00BF22FF">
      <w:pPr>
        <w:spacing w:before="60" w:after="60"/>
        <w:rPr>
          <w:b/>
        </w:rPr>
      </w:pPr>
    </w:p>
    <w:p w:rsidR="00916A92" w:rsidRDefault="00916A92" w:rsidP="00BF22FF">
      <w:pPr>
        <w:spacing w:before="60" w:after="60"/>
        <w:rPr>
          <w:b/>
        </w:rPr>
      </w:pPr>
      <w:r>
        <w:rPr>
          <w:b/>
        </w:rPr>
        <w:t>Aufgabe mit Hilfestellung (</w:t>
      </w:r>
      <w:r w:rsidR="001A15B7">
        <w:rPr>
          <w:b/>
        </w:rPr>
        <w:t>S</w:t>
      </w:r>
      <w:r>
        <w:rPr>
          <w:b/>
        </w:rPr>
        <w:t>caffolding):</w:t>
      </w:r>
    </w:p>
    <w:p w:rsidR="006E3A54" w:rsidRDefault="006E3A54" w:rsidP="00BF22FF">
      <w:pPr>
        <w:spacing w:before="60" w:after="60"/>
        <w:rPr>
          <w:b/>
        </w:rPr>
      </w:pPr>
    </w:p>
    <w:p w:rsidR="006E3A54" w:rsidRDefault="006E3A54" w:rsidP="000E768D">
      <w:pPr>
        <w:spacing w:before="60" w:after="60"/>
        <w:jc w:val="both"/>
        <w:rPr>
          <w:bCs/>
        </w:rPr>
      </w:pPr>
      <w:r>
        <w:rPr>
          <w:bCs/>
        </w:rPr>
        <w:t>Analysiere zunächst die Daten zu den CO</w:t>
      </w:r>
      <w:r w:rsidRPr="006E3A54">
        <w:rPr>
          <w:bCs/>
          <w:vertAlign w:val="subscript"/>
        </w:rPr>
        <w:t>2</w:t>
      </w:r>
      <w:r>
        <w:rPr>
          <w:bCs/>
        </w:rPr>
        <w:t xml:space="preserve">-Emissionen und der Wirtschaftsentwicklung (d. h. des Bruttoinlandsprodukts BIP) und begründe, ob China zu den </w:t>
      </w:r>
      <w:r w:rsidR="000E768D">
        <w:rPr>
          <w:bCs/>
        </w:rPr>
        <w:t>größten Klimasündern</w:t>
      </w:r>
      <w:r>
        <w:rPr>
          <w:bCs/>
        </w:rPr>
        <w:t xml:space="preserve"> g</w:t>
      </w:r>
      <w:r>
        <w:rPr>
          <w:bCs/>
        </w:rPr>
        <w:t>e</w:t>
      </w:r>
      <w:r>
        <w:rPr>
          <w:bCs/>
        </w:rPr>
        <w:t>zählt werden kann oder nicht.</w:t>
      </w:r>
    </w:p>
    <w:p w:rsidR="006E3A54" w:rsidRDefault="006E3A54" w:rsidP="000E768D">
      <w:pPr>
        <w:spacing w:before="60" w:after="60"/>
        <w:jc w:val="both"/>
        <w:rPr>
          <w:bCs/>
        </w:rPr>
      </w:pPr>
      <w:r>
        <w:rPr>
          <w:bCs/>
        </w:rPr>
        <w:t>Vergleiche dann die Entwicklung der Einwohnerzahl, des Wirtschaftswachstums und des CO</w:t>
      </w:r>
      <w:r w:rsidRPr="0065358B">
        <w:rPr>
          <w:bCs/>
          <w:vertAlign w:val="subscript"/>
        </w:rPr>
        <w:t>2</w:t>
      </w:r>
      <w:r>
        <w:rPr>
          <w:bCs/>
        </w:rPr>
        <w:t>-Ausstosses von China und Deutschland.</w:t>
      </w:r>
    </w:p>
    <w:p w:rsidR="00CC6E7D" w:rsidRDefault="006E3A54" w:rsidP="0065358B">
      <w:pPr>
        <w:spacing w:before="60" w:after="60"/>
        <w:jc w:val="both"/>
        <w:rPr>
          <w:bCs/>
        </w:rPr>
      </w:pPr>
      <w:r>
        <w:rPr>
          <w:bCs/>
        </w:rPr>
        <w:t xml:space="preserve">Beurteile alle Daten hinsichtlich der Frage, ob China tatsächlich der </w:t>
      </w:r>
      <w:r w:rsidR="0065358B">
        <w:rPr>
          <w:bCs/>
        </w:rPr>
        <w:t>Klimasünder</w:t>
      </w:r>
      <w:r>
        <w:rPr>
          <w:bCs/>
        </w:rPr>
        <w:t xml:space="preserve"> ist und Deutsch</w:t>
      </w:r>
      <w:r w:rsidR="0065358B">
        <w:rPr>
          <w:bCs/>
        </w:rPr>
        <w:t>land das Vorbild</w:t>
      </w:r>
      <w:r>
        <w:rPr>
          <w:bCs/>
        </w:rPr>
        <w:t>.</w:t>
      </w:r>
    </w:p>
    <w:p w:rsidR="00706544" w:rsidRDefault="00706544" w:rsidP="0065358B">
      <w:pPr>
        <w:spacing w:before="60" w:after="60"/>
        <w:jc w:val="both"/>
        <w:rPr>
          <w:bCs/>
        </w:rPr>
      </w:pPr>
    </w:p>
    <w:p w:rsidR="00B71EEA" w:rsidRDefault="00B71EEA" w:rsidP="0065358B">
      <w:pPr>
        <w:spacing w:before="60" w:after="60"/>
        <w:jc w:val="both"/>
        <w:rPr>
          <w:bCs/>
        </w:rPr>
      </w:pPr>
    </w:p>
    <w:p w:rsidR="00B71EEA" w:rsidRDefault="00B71EEA" w:rsidP="0065358B">
      <w:pPr>
        <w:spacing w:before="60" w:after="60"/>
        <w:jc w:val="both"/>
        <w:rPr>
          <w:bCs/>
        </w:rPr>
      </w:pPr>
    </w:p>
    <w:p w:rsidR="00B71EEA" w:rsidRDefault="00B71EEA" w:rsidP="0065358B">
      <w:pPr>
        <w:spacing w:before="60" w:after="60"/>
        <w:jc w:val="both"/>
        <w:rPr>
          <w:bCs/>
        </w:rPr>
      </w:pPr>
    </w:p>
    <w:p w:rsidR="00B71EEA" w:rsidRDefault="00B71EEA" w:rsidP="0065358B">
      <w:pPr>
        <w:spacing w:before="60" w:after="60"/>
        <w:jc w:val="both"/>
        <w:rPr>
          <w:bCs/>
        </w:rPr>
      </w:pPr>
    </w:p>
    <w:p w:rsidR="00B71EEA" w:rsidRDefault="00B71EEA" w:rsidP="0065358B">
      <w:pPr>
        <w:spacing w:before="60" w:after="60"/>
        <w:jc w:val="both"/>
        <w:rPr>
          <w:bCs/>
        </w:rPr>
      </w:pPr>
    </w:p>
    <w:p w:rsidR="00B71EEA" w:rsidRDefault="00B71EEA" w:rsidP="0065358B">
      <w:pPr>
        <w:spacing w:before="60" w:after="60"/>
        <w:jc w:val="both"/>
        <w:rPr>
          <w:bCs/>
        </w:rPr>
      </w:pPr>
    </w:p>
    <w:p w:rsidR="00B71EEA" w:rsidRDefault="00B71EEA" w:rsidP="0065358B">
      <w:pPr>
        <w:spacing w:before="60" w:after="60"/>
        <w:jc w:val="both"/>
        <w:rPr>
          <w:bCs/>
        </w:rPr>
      </w:pPr>
    </w:p>
    <w:p w:rsidR="00B71EEA" w:rsidRDefault="00B71EEA" w:rsidP="0065358B">
      <w:pPr>
        <w:spacing w:before="60" w:after="60"/>
        <w:jc w:val="both"/>
        <w:rPr>
          <w:bCs/>
        </w:rPr>
      </w:pPr>
    </w:p>
    <w:p w:rsidR="00B71EEA" w:rsidRDefault="00B71EEA" w:rsidP="0065358B">
      <w:pPr>
        <w:spacing w:before="60" w:after="60"/>
        <w:jc w:val="both"/>
        <w:rPr>
          <w:bCs/>
        </w:rPr>
      </w:pPr>
    </w:p>
    <w:p w:rsidR="00B71EEA" w:rsidRDefault="00B71EEA" w:rsidP="0065358B">
      <w:pPr>
        <w:spacing w:before="60" w:after="60"/>
        <w:jc w:val="both"/>
        <w:rPr>
          <w:bCs/>
        </w:rPr>
      </w:pPr>
    </w:p>
    <w:p w:rsidR="00B71EEA" w:rsidRDefault="00B71EEA" w:rsidP="0065358B">
      <w:pPr>
        <w:spacing w:before="60" w:after="60"/>
        <w:jc w:val="both"/>
        <w:rPr>
          <w:bCs/>
        </w:rPr>
      </w:pPr>
    </w:p>
    <w:p w:rsidR="00B71EEA" w:rsidRDefault="00B71EEA" w:rsidP="0065358B">
      <w:pPr>
        <w:spacing w:before="60" w:after="60"/>
        <w:jc w:val="both"/>
        <w:rPr>
          <w:bCs/>
        </w:rPr>
      </w:pPr>
    </w:p>
    <w:p w:rsidR="00B71EEA" w:rsidRDefault="00B71EEA" w:rsidP="0065358B">
      <w:pPr>
        <w:spacing w:before="60" w:after="60"/>
        <w:jc w:val="both"/>
        <w:rPr>
          <w:bCs/>
        </w:rPr>
      </w:pPr>
    </w:p>
    <w:p w:rsidR="00706544" w:rsidRDefault="00B71EEA" w:rsidP="0065358B">
      <w:pPr>
        <w:spacing w:before="60" w:after="60"/>
        <w:jc w:val="both"/>
        <w:rPr>
          <w:bCs/>
        </w:rPr>
      </w:pPr>
      <w:r>
        <w:rPr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8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LISUM</w:t>
      </w:r>
    </w:p>
    <w:p w:rsidR="00650E01" w:rsidRDefault="00650E01" w:rsidP="0065358B">
      <w:pPr>
        <w:spacing w:before="60" w:after="60"/>
        <w:jc w:val="both"/>
        <w:rPr>
          <w:bCs/>
        </w:rPr>
        <w:sectPr w:rsidR="00650E01" w:rsidSect="004851BE">
          <w:footerReference w:type="default" r:id="rId11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CC6E7D" w:rsidRDefault="00CC6E7D" w:rsidP="00BF22FF">
      <w:pPr>
        <w:spacing w:before="60" w:after="60"/>
        <w:rPr>
          <w:b/>
        </w:rPr>
      </w:pPr>
      <w:r>
        <w:rPr>
          <w:b/>
        </w:rPr>
        <w:lastRenderedPageBreak/>
        <w:t>Material:</w:t>
      </w:r>
    </w:p>
    <w:p w:rsidR="006D084A" w:rsidRDefault="00FA2B08" w:rsidP="007145BF">
      <w:pPr>
        <w:spacing w:before="60" w:after="60"/>
        <w:jc w:val="center"/>
        <w:rPr>
          <w:b/>
        </w:rPr>
      </w:pPr>
      <w:r>
        <w:rPr>
          <w:b/>
        </w:rPr>
        <w:t>Die Top-Ten des CO</w:t>
      </w:r>
      <w:r w:rsidRPr="001D06E4">
        <w:rPr>
          <w:b/>
          <w:vertAlign w:val="subscript"/>
        </w:rPr>
        <w:t>2</w:t>
      </w:r>
      <w:r>
        <w:rPr>
          <w:b/>
        </w:rPr>
        <w:t>-Aussto</w:t>
      </w:r>
      <w:r w:rsidR="0069641C">
        <w:rPr>
          <w:b/>
        </w:rPr>
        <w:t>ß</w:t>
      </w:r>
      <w:r>
        <w:rPr>
          <w:b/>
        </w:rPr>
        <w:t>es und der Wirtschaftsleistung</w:t>
      </w:r>
    </w:p>
    <w:tbl>
      <w:tblPr>
        <w:tblStyle w:val="Tabellengitternetz"/>
        <w:tblW w:w="0" w:type="auto"/>
        <w:tblInd w:w="-38" w:type="dxa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9210"/>
      </w:tblGrid>
      <w:tr w:rsidR="00FA2B08" w:rsidTr="00650E01">
        <w:tc>
          <w:tcPr>
            <w:tcW w:w="9210" w:type="dxa"/>
          </w:tcPr>
          <w:p w:rsidR="007145BF" w:rsidRDefault="007145BF" w:rsidP="007145BF">
            <w:pPr>
              <w:spacing w:before="60" w:after="60"/>
              <w:rPr>
                <w:b/>
              </w:rPr>
            </w:pPr>
            <w:r>
              <w:rPr>
                <w:b/>
              </w:rPr>
              <w:t>M 1</w:t>
            </w:r>
          </w:p>
          <w:p w:rsidR="00FA2B08" w:rsidRDefault="00FA2B08" w:rsidP="00FA2B08">
            <w:pPr>
              <w:spacing w:before="60" w:after="60"/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125433" cy="2892056"/>
                  <wp:effectExtent l="0" t="0" r="8890" b="3810"/>
                  <wp:docPr id="2" name="Diagramm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FA2B08" w:rsidRDefault="00650E01" w:rsidP="00FA2B08">
            <w:pPr>
              <w:spacing w:before="60" w:after="60"/>
              <w:jc w:val="center"/>
              <w:rPr>
                <w:bCs/>
              </w:rPr>
            </w:pPr>
            <w:r w:rsidRPr="00650E01">
              <w:rPr>
                <w:bCs/>
              </w:rPr>
              <w:t>z</w:t>
            </w:r>
            <w:r w:rsidR="00FA2B08" w:rsidRPr="00650E01">
              <w:rPr>
                <w:bCs/>
              </w:rPr>
              <w:t>um Vergleich UK (United Kingdom) und die VAE (Vereinigte Arabische Emirate)</w:t>
            </w:r>
          </w:p>
          <w:p w:rsidR="000C26EB" w:rsidRDefault="000C26EB" w:rsidP="000C26EB">
            <w:pPr>
              <w:spacing w:before="60" w:after="60"/>
              <w:jc w:val="center"/>
              <w:rPr>
                <w:bCs/>
              </w:rPr>
            </w:pPr>
            <w:r w:rsidRPr="000C26EB">
              <w:rPr>
                <w:bCs/>
              </w:rPr>
              <w:t>*</w:t>
            </w:r>
            <w:r>
              <w:rPr>
                <w:bCs/>
              </w:rPr>
              <w:t xml:space="preserve"> d</w:t>
            </w:r>
            <w:r w:rsidRPr="000C26EB">
              <w:rPr>
                <w:bCs/>
              </w:rPr>
              <w:t xml:space="preserve">er </w:t>
            </w:r>
            <w:r>
              <w:rPr>
                <w:bCs/>
              </w:rPr>
              <w:t>Wert für die VAE beträgt 0,7 und ist dementsprechend nicht mehr darstellbar</w:t>
            </w:r>
          </w:p>
          <w:p w:rsidR="002F02B0" w:rsidRPr="000C26EB" w:rsidRDefault="002F02B0" w:rsidP="000C26EB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Quelle: eigene Darstellung</w:t>
            </w:r>
          </w:p>
        </w:tc>
      </w:tr>
      <w:tr w:rsidR="00FA2B08" w:rsidTr="00650E01">
        <w:tblPrEx>
          <w:tblCellMar>
            <w:left w:w="70" w:type="dxa"/>
            <w:right w:w="70" w:type="dxa"/>
          </w:tblCellMar>
        </w:tblPrEx>
        <w:tc>
          <w:tcPr>
            <w:tcW w:w="9210" w:type="dxa"/>
          </w:tcPr>
          <w:p w:rsidR="007145BF" w:rsidRDefault="007145BF" w:rsidP="007145BF">
            <w:pPr>
              <w:spacing w:before="60" w:after="60"/>
              <w:rPr>
                <w:b/>
              </w:rPr>
            </w:pPr>
            <w:r>
              <w:rPr>
                <w:b/>
              </w:rPr>
              <w:t>M 2</w:t>
            </w:r>
          </w:p>
          <w:p w:rsidR="00FA2B08" w:rsidRDefault="00650E01" w:rsidP="00650E01">
            <w:pPr>
              <w:spacing w:before="60" w:after="60"/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241851" cy="3062177"/>
                  <wp:effectExtent l="0" t="0" r="0" b="5080"/>
                  <wp:docPr id="3" name="Diagramm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650E01" w:rsidRPr="00650E01" w:rsidRDefault="00650E01" w:rsidP="00650E01">
            <w:pPr>
              <w:spacing w:before="60" w:after="60"/>
              <w:jc w:val="center"/>
              <w:rPr>
                <w:bCs/>
              </w:rPr>
            </w:pPr>
            <w:r w:rsidRPr="00650E01">
              <w:rPr>
                <w:bCs/>
              </w:rPr>
              <w:t>zum Vergleich Deutschland, China und UK (United Kingdom)</w:t>
            </w:r>
          </w:p>
          <w:p w:rsidR="00650E01" w:rsidRDefault="00650E01" w:rsidP="00650E01">
            <w:pPr>
              <w:spacing w:before="60" w:after="60"/>
              <w:jc w:val="center"/>
              <w:rPr>
                <w:bCs/>
              </w:rPr>
            </w:pPr>
            <w:r w:rsidRPr="00650E01">
              <w:rPr>
                <w:bCs/>
              </w:rPr>
              <w:t>* Daten von 2010</w:t>
            </w:r>
          </w:p>
          <w:p w:rsidR="002F02B0" w:rsidRPr="00650E01" w:rsidRDefault="002F02B0" w:rsidP="00650E01">
            <w:pPr>
              <w:spacing w:before="60" w:after="60"/>
              <w:jc w:val="center"/>
              <w:rPr>
                <w:b/>
              </w:rPr>
            </w:pPr>
            <w:r>
              <w:rPr>
                <w:bCs/>
              </w:rPr>
              <w:t>Quelle: eigene Darstellung</w:t>
            </w:r>
          </w:p>
        </w:tc>
      </w:tr>
    </w:tbl>
    <w:p w:rsidR="00B71EEA" w:rsidRDefault="00B71EEA">
      <w:r>
        <w:rPr>
          <w:noProof/>
          <w:lang w:eastAsia="de-DE"/>
        </w:rPr>
        <w:drawing>
          <wp:inline distT="0" distB="0" distL="0" distR="0">
            <wp:extent cx="1223010" cy="425450"/>
            <wp:effectExtent l="19050" t="0" r="0" b="0"/>
            <wp:docPr id="9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  <w:r>
        <w:br w:type="page"/>
      </w:r>
    </w:p>
    <w:tbl>
      <w:tblPr>
        <w:tblStyle w:val="Tabellengitternetz"/>
        <w:tblW w:w="9310" w:type="dxa"/>
        <w:tblInd w:w="-53" w:type="dxa"/>
        <w:tblCellMar>
          <w:top w:w="85" w:type="dxa"/>
          <w:left w:w="70" w:type="dxa"/>
          <w:bottom w:w="85" w:type="dxa"/>
          <w:right w:w="70" w:type="dxa"/>
        </w:tblCellMar>
        <w:tblLook w:val="04A0"/>
      </w:tblPr>
      <w:tblGrid>
        <w:gridCol w:w="9310"/>
      </w:tblGrid>
      <w:tr w:rsidR="00FA2B08" w:rsidTr="00B71EEA">
        <w:trPr>
          <w:trHeight w:val="7696"/>
        </w:trPr>
        <w:tc>
          <w:tcPr>
            <w:tcW w:w="9310" w:type="dxa"/>
          </w:tcPr>
          <w:p w:rsidR="007145BF" w:rsidRDefault="007145BF" w:rsidP="007145BF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M 3</w:t>
            </w:r>
          </w:p>
          <w:p w:rsidR="00FA2B08" w:rsidRDefault="00650E01" w:rsidP="00650E01">
            <w:pPr>
              <w:spacing w:before="60" w:after="60"/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348716" cy="4444410"/>
                  <wp:effectExtent l="0" t="0" r="0" b="0"/>
                  <wp:docPr id="4" name="Diagramm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650E01" w:rsidRDefault="00650E01" w:rsidP="00650E01">
            <w:pPr>
              <w:spacing w:before="60" w:after="60"/>
              <w:jc w:val="center"/>
              <w:rPr>
                <w:bCs/>
              </w:rPr>
            </w:pPr>
            <w:r w:rsidRPr="005B04C1">
              <w:rPr>
                <w:bCs/>
              </w:rPr>
              <w:t>zum Vergleich Norwegen und Luxemburg</w:t>
            </w:r>
          </w:p>
          <w:p w:rsidR="002F02B0" w:rsidRPr="005B04C1" w:rsidRDefault="002F02B0" w:rsidP="00650E01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Quelle: eigene Darstellung</w:t>
            </w:r>
          </w:p>
        </w:tc>
      </w:tr>
      <w:tr w:rsidR="00FA2B08" w:rsidTr="00B71EEA">
        <w:trPr>
          <w:trHeight w:val="4779"/>
        </w:trPr>
        <w:tc>
          <w:tcPr>
            <w:tcW w:w="9310" w:type="dxa"/>
          </w:tcPr>
          <w:p w:rsidR="007145BF" w:rsidRDefault="007145BF" w:rsidP="007145BF">
            <w:pPr>
              <w:spacing w:before="60" w:after="60"/>
              <w:rPr>
                <w:b/>
              </w:rPr>
            </w:pPr>
            <w:r>
              <w:rPr>
                <w:b/>
              </w:rPr>
              <w:t>M 4</w:t>
            </w:r>
          </w:p>
          <w:p w:rsidR="00FA2B08" w:rsidRDefault="005B04C1" w:rsidP="005B04C1">
            <w:pPr>
              <w:spacing w:before="60" w:after="60"/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104167" cy="2828260"/>
                  <wp:effectExtent l="0" t="0" r="0" b="0"/>
                  <wp:docPr id="5" name="Diagramm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5B04C1" w:rsidRDefault="005B04C1" w:rsidP="005B04C1">
            <w:pPr>
              <w:spacing w:before="60" w:after="60"/>
              <w:jc w:val="center"/>
              <w:rPr>
                <w:bCs/>
              </w:rPr>
            </w:pPr>
            <w:r w:rsidRPr="005B04C1">
              <w:rPr>
                <w:bCs/>
              </w:rPr>
              <w:t xml:space="preserve">zum Vergleich Deutschland, China und UK (United </w:t>
            </w:r>
            <w:r>
              <w:rPr>
                <w:bCs/>
              </w:rPr>
              <w:t>Kingdom)</w:t>
            </w:r>
          </w:p>
          <w:p w:rsidR="002F02B0" w:rsidRPr="005B04C1" w:rsidRDefault="002F02B0" w:rsidP="005B04C1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Quelle: eigene Darstellung</w:t>
            </w:r>
          </w:p>
        </w:tc>
      </w:tr>
    </w:tbl>
    <w:p w:rsidR="006D084A" w:rsidRPr="008119C5" w:rsidRDefault="00706544" w:rsidP="00706544">
      <w:pPr>
        <w:spacing w:before="60" w:after="60"/>
        <w:jc w:val="center"/>
        <w:rPr>
          <w:b/>
        </w:rPr>
      </w:pPr>
      <w:r>
        <w:rPr>
          <w:b/>
        </w:rPr>
        <w:lastRenderedPageBreak/>
        <w:t>Entwicklung der Bevölkerung, des Wirtschaftswachstums und des CO</w:t>
      </w:r>
      <w:r w:rsidRPr="001D06E4">
        <w:rPr>
          <w:b/>
          <w:vertAlign w:val="subscript"/>
        </w:rPr>
        <w:t>2</w:t>
      </w:r>
      <w:r w:rsidR="004E6C51">
        <w:rPr>
          <w:b/>
        </w:rPr>
        <w:t>-Ausstoß</w:t>
      </w:r>
      <w:r>
        <w:rPr>
          <w:b/>
        </w:rPr>
        <w:t>es in China und Deutschland (1970-2010)</w:t>
      </w:r>
    </w:p>
    <w:p w:rsidR="00F5187C" w:rsidRPr="007145BF" w:rsidRDefault="007145BF" w:rsidP="004F3656">
      <w:pPr>
        <w:rPr>
          <w:b/>
          <w:bCs/>
        </w:rPr>
      </w:pPr>
      <w:r w:rsidRPr="007145BF">
        <w:rPr>
          <w:b/>
          <w:bCs/>
        </w:rPr>
        <w:t>M 5</w:t>
      </w:r>
    </w:p>
    <w:tbl>
      <w:tblPr>
        <w:tblStyle w:val="Tabellengitternetz"/>
        <w:tblW w:w="0" w:type="auto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9210"/>
      </w:tblGrid>
      <w:tr w:rsidR="00706544" w:rsidTr="001B3572">
        <w:tc>
          <w:tcPr>
            <w:tcW w:w="9210" w:type="dxa"/>
          </w:tcPr>
          <w:p w:rsidR="00706544" w:rsidRDefault="001B3572" w:rsidP="001B357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231218" cy="3264195"/>
                  <wp:effectExtent l="19050" t="0" r="26582" b="0"/>
                  <wp:docPr id="6" name="Diagramm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2F02B0" w:rsidRDefault="002F02B0" w:rsidP="001B3572">
            <w:pPr>
              <w:jc w:val="center"/>
            </w:pPr>
            <w:r>
              <w:t>Quelle: eigene Darstellung</w:t>
            </w:r>
          </w:p>
          <w:p w:rsidR="002F02B0" w:rsidRDefault="002F02B0" w:rsidP="007145BF"/>
          <w:p w:rsidR="007145BF" w:rsidRPr="007145BF" w:rsidRDefault="007145BF" w:rsidP="007145BF">
            <w:pPr>
              <w:rPr>
                <w:b/>
                <w:bCs/>
              </w:rPr>
            </w:pPr>
            <w:r w:rsidRPr="007145BF">
              <w:rPr>
                <w:b/>
                <w:bCs/>
              </w:rPr>
              <w:t>M 6</w:t>
            </w:r>
          </w:p>
        </w:tc>
      </w:tr>
      <w:tr w:rsidR="00706544" w:rsidTr="001B3572">
        <w:tblPrEx>
          <w:tblCellMar>
            <w:left w:w="70" w:type="dxa"/>
            <w:right w:w="70" w:type="dxa"/>
          </w:tblCellMar>
        </w:tblPrEx>
        <w:tc>
          <w:tcPr>
            <w:tcW w:w="9210" w:type="dxa"/>
          </w:tcPr>
          <w:p w:rsidR="00706544" w:rsidRDefault="001B3572" w:rsidP="001B357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231219" cy="3593805"/>
                  <wp:effectExtent l="0" t="0" r="26670" b="26035"/>
                  <wp:docPr id="7" name="Diagramm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2F02B0" w:rsidRDefault="002F02B0" w:rsidP="001B3572">
            <w:pPr>
              <w:jc w:val="center"/>
            </w:pPr>
            <w:r>
              <w:t>Quelle: eigene Darstellung</w:t>
            </w:r>
          </w:p>
        </w:tc>
      </w:tr>
      <w:tr w:rsidR="00706544" w:rsidTr="001B3572">
        <w:tblPrEx>
          <w:tblCellMar>
            <w:left w:w="70" w:type="dxa"/>
            <w:right w:w="70" w:type="dxa"/>
          </w:tblCellMar>
        </w:tblPrEx>
        <w:tc>
          <w:tcPr>
            <w:tcW w:w="9210" w:type="dxa"/>
          </w:tcPr>
          <w:p w:rsidR="007145BF" w:rsidRDefault="00B71EEA" w:rsidP="00B71EEA">
            <w:r>
              <w:rPr>
                <w:noProof/>
                <w:lang w:eastAsia="de-DE"/>
              </w:rPr>
              <w:drawing>
                <wp:inline distT="0" distB="0" distL="0" distR="0">
                  <wp:extent cx="1223010" cy="425450"/>
                  <wp:effectExtent l="19050" t="0" r="0" b="0"/>
                  <wp:docPr id="10" name="Grafik 1" descr="CC_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C_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LISUM</w:t>
            </w:r>
          </w:p>
          <w:p w:rsidR="007145BF" w:rsidRPr="007145BF" w:rsidRDefault="007145BF" w:rsidP="007145BF">
            <w:pPr>
              <w:rPr>
                <w:b/>
                <w:bCs/>
              </w:rPr>
            </w:pPr>
            <w:r w:rsidRPr="007145BF">
              <w:rPr>
                <w:b/>
                <w:bCs/>
              </w:rPr>
              <w:lastRenderedPageBreak/>
              <w:t>M 7</w:t>
            </w:r>
          </w:p>
          <w:p w:rsidR="00706544" w:rsidRDefault="001B3572" w:rsidP="001B357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401340" cy="3700130"/>
                  <wp:effectExtent l="0" t="0" r="27940" b="15240"/>
                  <wp:docPr id="16" name="Diagramm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2F02B0" w:rsidRDefault="002F02B0" w:rsidP="001B3572">
            <w:pPr>
              <w:jc w:val="center"/>
            </w:pPr>
            <w:r>
              <w:t>Quelle: eigene Darstellung</w:t>
            </w:r>
          </w:p>
        </w:tc>
      </w:tr>
    </w:tbl>
    <w:p w:rsidR="00706544" w:rsidRDefault="00706544" w:rsidP="004F3656"/>
    <w:p w:rsidR="005B04C1" w:rsidRDefault="005B04C1" w:rsidP="004F3656"/>
    <w:p w:rsidR="00C72503" w:rsidRDefault="00C72503" w:rsidP="002F02B0">
      <w:pPr>
        <w:spacing w:before="60" w:after="60"/>
        <w:rPr>
          <w:b/>
        </w:rPr>
      </w:pPr>
      <w:r>
        <w:rPr>
          <w:b/>
        </w:rPr>
        <w:t>Glossar</w:t>
      </w:r>
    </w:p>
    <w:p w:rsidR="00C72503" w:rsidRPr="002F02B0" w:rsidRDefault="00C72503" w:rsidP="002F02B0">
      <w:pPr>
        <w:spacing w:before="60" w:after="60"/>
        <w:rPr>
          <w:b/>
          <w:i/>
          <w:iCs/>
        </w:rPr>
      </w:pPr>
      <w:r w:rsidRPr="00C72503">
        <w:rPr>
          <w:b/>
          <w:i/>
          <w:iCs/>
        </w:rPr>
        <w:t>Bruttoinlandsprodukt (BIP)</w:t>
      </w:r>
    </w:p>
    <w:p w:rsidR="00680403" w:rsidRDefault="00C72503" w:rsidP="002F02B0">
      <w:pPr>
        <w:spacing w:before="60" w:after="60"/>
        <w:jc w:val="both"/>
        <w:rPr>
          <w:bCs/>
        </w:rPr>
      </w:pPr>
      <w:r>
        <w:rPr>
          <w:bCs/>
        </w:rPr>
        <w:t>Mit dem Bruttoinlandsprodukt wird die Wirtschaftskraft verschiedener Länder miteinander verglichen. Es erfasst alle innerhalb der nationalen Grenzen eines Staates in einem Jahr hergestellten Waren und Dienstl</w:t>
      </w:r>
      <w:r w:rsidR="00680403">
        <w:rPr>
          <w:bCs/>
        </w:rPr>
        <w:t xml:space="preserve">eistungen abzüglich der Vorleistungen. </w:t>
      </w:r>
    </w:p>
    <w:p w:rsidR="00680403" w:rsidRDefault="00680403" w:rsidP="002F02B0">
      <w:pPr>
        <w:spacing w:before="60" w:after="60"/>
        <w:jc w:val="both"/>
        <w:rPr>
          <w:bCs/>
        </w:rPr>
      </w:pPr>
      <w:r>
        <w:rPr>
          <w:bCs/>
        </w:rPr>
        <w:t>Mit Vorleistungen werden die Waren und Dienstleistungen bezeichnet, die im Produktion</w:t>
      </w:r>
      <w:r>
        <w:rPr>
          <w:bCs/>
        </w:rPr>
        <w:t>s</w:t>
      </w:r>
      <w:r>
        <w:rPr>
          <w:bCs/>
        </w:rPr>
        <w:t>prozess verbraucht werden. Gezählt wird damit nur die Wertschöpfung, also nur der Betrag, der neu erwirtschaftet wurde.</w:t>
      </w:r>
    </w:p>
    <w:p w:rsidR="00680403" w:rsidRDefault="00680403" w:rsidP="002F02B0">
      <w:pPr>
        <w:spacing w:before="60" w:after="60"/>
        <w:jc w:val="both"/>
        <w:rPr>
          <w:bCs/>
        </w:rPr>
      </w:pPr>
      <w:r>
        <w:rPr>
          <w:bCs/>
        </w:rPr>
        <w:t xml:space="preserve">Beispiel: </w:t>
      </w:r>
      <w:proofErr w:type="gramStart"/>
      <w:r>
        <w:rPr>
          <w:bCs/>
        </w:rPr>
        <w:t>Ein</w:t>
      </w:r>
      <w:proofErr w:type="gramEnd"/>
      <w:r>
        <w:rPr>
          <w:bCs/>
        </w:rPr>
        <w:t xml:space="preserve"> Brötchen wird für 50 Cent verkauft. Um es zu backen, waren Mehl, Arbeitszeit und andere Vorleistungen notwendig. Sie haben 40 Cent gekostet. Die Wertschöpfung b</w:t>
      </w:r>
      <w:r>
        <w:rPr>
          <w:bCs/>
        </w:rPr>
        <w:t>e</w:t>
      </w:r>
      <w:r>
        <w:rPr>
          <w:bCs/>
        </w:rPr>
        <w:t>trägt dann 10 Cent. Diese 10 Cent werden im Bruttoinlandsprodukt erfasst.</w:t>
      </w:r>
    </w:p>
    <w:p w:rsidR="00C72503" w:rsidRDefault="002F02B0" w:rsidP="002F02B0">
      <w:pPr>
        <w:spacing w:before="60" w:after="60"/>
        <w:jc w:val="both"/>
        <w:rPr>
          <w:bCs/>
        </w:rPr>
      </w:pPr>
      <w:r>
        <w:rPr>
          <w:bCs/>
        </w:rPr>
        <w:t>(Quelle: Autorentext)</w:t>
      </w:r>
    </w:p>
    <w:p w:rsidR="002F02B0" w:rsidRDefault="002F02B0" w:rsidP="00C72503">
      <w:pPr>
        <w:spacing w:line="240" w:lineRule="auto"/>
        <w:jc w:val="both"/>
        <w:rPr>
          <w:bCs/>
        </w:rPr>
      </w:pPr>
    </w:p>
    <w:p w:rsidR="00B71EEA" w:rsidRDefault="00B71EEA" w:rsidP="00C72503">
      <w:pPr>
        <w:spacing w:line="240" w:lineRule="auto"/>
        <w:jc w:val="both"/>
        <w:rPr>
          <w:bCs/>
        </w:rPr>
      </w:pPr>
    </w:p>
    <w:p w:rsidR="00B71EEA" w:rsidRDefault="00B71EEA" w:rsidP="00C72503">
      <w:pPr>
        <w:spacing w:line="240" w:lineRule="auto"/>
        <w:jc w:val="both"/>
        <w:rPr>
          <w:bCs/>
        </w:rPr>
      </w:pPr>
    </w:p>
    <w:p w:rsidR="00B71EEA" w:rsidRDefault="00B71EEA" w:rsidP="00C72503">
      <w:pPr>
        <w:spacing w:line="240" w:lineRule="auto"/>
        <w:jc w:val="both"/>
        <w:rPr>
          <w:bCs/>
        </w:rPr>
      </w:pPr>
    </w:p>
    <w:p w:rsidR="00B71EEA" w:rsidRDefault="00B71EEA" w:rsidP="00C72503">
      <w:pPr>
        <w:spacing w:line="240" w:lineRule="auto"/>
        <w:jc w:val="both"/>
        <w:rPr>
          <w:bCs/>
        </w:rPr>
      </w:pPr>
    </w:p>
    <w:p w:rsidR="00B71EEA" w:rsidRDefault="00B71EEA" w:rsidP="00C72503">
      <w:pPr>
        <w:spacing w:line="240" w:lineRule="auto"/>
        <w:jc w:val="both"/>
        <w:rPr>
          <w:bCs/>
        </w:rPr>
      </w:pPr>
    </w:p>
    <w:p w:rsidR="00B71EEA" w:rsidRDefault="00B71EEA" w:rsidP="00C72503">
      <w:pPr>
        <w:spacing w:line="240" w:lineRule="auto"/>
        <w:jc w:val="both"/>
        <w:rPr>
          <w:bCs/>
        </w:rPr>
      </w:pPr>
    </w:p>
    <w:p w:rsidR="00B71EEA" w:rsidRDefault="00B71EEA" w:rsidP="00C72503">
      <w:pPr>
        <w:spacing w:line="240" w:lineRule="auto"/>
        <w:jc w:val="both"/>
        <w:rPr>
          <w:bCs/>
        </w:rPr>
      </w:pPr>
    </w:p>
    <w:p w:rsidR="00B71EEA" w:rsidRDefault="00B71EEA" w:rsidP="00C72503">
      <w:pPr>
        <w:spacing w:line="240" w:lineRule="auto"/>
        <w:jc w:val="both"/>
        <w:rPr>
          <w:bCs/>
        </w:rPr>
      </w:pPr>
    </w:p>
    <w:p w:rsidR="00B71EEA" w:rsidRDefault="00B71EEA" w:rsidP="00C72503">
      <w:pPr>
        <w:spacing w:line="240" w:lineRule="auto"/>
        <w:jc w:val="both"/>
        <w:rPr>
          <w:bCs/>
        </w:rPr>
      </w:pPr>
    </w:p>
    <w:p w:rsidR="002F02B0" w:rsidRDefault="00B71EEA" w:rsidP="00C72503">
      <w:pPr>
        <w:spacing w:line="240" w:lineRule="auto"/>
        <w:jc w:val="both"/>
        <w:rPr>
          <w:bCs/>
        </w:rPr>
      </w:pPr>
      <w:r>
        <w:rPr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1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LISUM</w:t>
      </w:r>
    </w:p>
    <w:p w:rsidR="002F02B0" w:rsidRPr="00C72503" w:rsidRDefault="002F02B0" w:rsidP="00C72503">
      <w:pPr>
        <w:spacing w:line="240" w:lineRule="auto"/>
        <w:jc w:val="both"/>
        <w:rPr>
          <w:bCs/>
        </w:rPr>
        <w:sectPr w:rsidR="002F02B0" w:rsidRPr="00C72503" w:rsidSect="004851BE"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E74964" w:rsidRDefault="00F5187C" w:rsidP="00E74964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E74964" w:rsidRDefault="00E74964" w:rsidP="0032706B">
      <w:pPr>
        <w:spacing w:line="240" w:lineRule="auto"/>
        <w:rPr>
          <w:b/>
        </w:rPr>
      </w:pPr>
    </w:p>
    <w:p w:rsidR="007145BF" w:rsidRDefault="00E74964" w:rsidP="0032706B">
      <w:pPr>
        <w:spacing w:after="120"/>
        <w:jc w:val="both"/>
        <w:rPr>
          <w:bCs/>
        </w:rPr>
      </w:pPr>
      <w:r>
        <w:rPr>
          <w:bCs/>
        </w:rPr>
        <w:t>Absolut betrachtet ist China zweifelsfrei das Land mit dem größten CO</w:t>
      </w:r>
      <w:r w:rsidRPr="00E74964">
        <w:rPr>
          <w:bCs/>
          <w:vertAlign w:val="subscript"/>
        </w:rPr>
        <w:t>2</w:t>
      </w:r>
      <w:r>
        <w:rPr>
          <w:bCs/>
        </w:rPr>
        <w:t>-Ausstoß und kann deswegen als Klimasünder bezeichnet werden</w:t>
      </w:r>
      <w:r w:rsidR="007145BF">
        <w:rPr>
          <w:bCs/>
        </w:rPr>
        <w:t xml:space="preserve"> (M 1)</w:t>
      </w:r>
      <w:r>
        <w:rPr>
          <w:bCs/>
        </w:rPr>
        <w:t>. Auch im Vergleich zur Wirtschaftsle</w:t>
      </w:r>
      <w:r>
        <w:rPr>
          <w:bCs/>
        </w:rPr>
        <w:t>i</w:t>
      </w:r>
      <w:r>
        <w:rPr>
          <w:bCs/>
        </w:rPr>
        <w:t>stung stößt China relativ große Mengen an CO</w:t>
      </w:r>
      <w:r w:rsidRPr="00E74964">
        <w:rPr>
          <w:bCs/>
          <w:vertAlign w:val="subscript"/>
        </w:rPr>
        <w:t>2</w:t>
      </w:r>
      <w:r w:rsidR="003A72F8">
        <w:rPr>
          <w:bCs/>
        </w:rPr>
        <w:t xml:space="preserve"> aus</w:t>
      </w:r>
      <w:r w:rsidR="007145BF">
        <w:rPr>
          <w:bCs/>
        </w:rPr>
        <w:t>, wie man beispielsweise dem Vergleich mit den USA oder mit Deutschland entnehmen kann (M 1 und M 3)</w:t>
      </w:r>
      <w:r w:rsidR="003A72F8">
        <w:rPr>
          <w:bCs/>
        </w:rPr>
        <w:t xml:space="preserve">. </w:t>
      </w:r>
    </w:p>
    <w:p w:rsidR="004A3005" w:rsidRPr="0032706B" w:rsidRDefault="003A72F8" w:rsidP="00D50AD0">
      <w:pPr>
        <w:spacing w:after="120"/>
        <w:jc w:val="both"/>
        <w:rPr>
          <w:bCs/>
        </w:rPr>
      </w:pPr>
      <w:r>
        <w:rPr>
          <w:bCs/>
        </w:rPr>
        <w:t xml:space="preserve">Dass China mit beiden Werten unter den ersten zehn Staaten landet, </w:t>
      </w:r>
      <w:r w:rsidR="007145BF">
        <w:rPr>
          <w:bCs/>
        </w:rPr>
        <w:t>liegt</w:t>
      </w:r>
      <w:r>
        <w:rPr>
          <w:bCs/>
        </w:rPr>
        <w:t xml:space="preserve"> sich sicherlich </w:t>
      </w:r>
      <w:r w:rsidR="007145BF">
        <w:rPr>
          <w:bCs/>
        </w:rPr>
        <w:t>auch, aber</w:t>
      </w:r>
      <w:r w:rsidR="001D06E4">
        <w:rPr>
          <w:bCs/>
        </w:rPr>
        <w:t xml:space="preserve"> nicht nur,</w:t>
      </w:r>
      <w:r>
        <w:rPr>
          <w:bCs/>
        </w:rPr>
        <w:t xml:space="preserve"> </w:t>
      </w:r>
      <w:r w:rsidR="007145BF">
        <w:rPr>
          <w:bCs/>
        </w:rPr>
        <w:t xml:space="preserve">an </w:t>
      </w:r>
      <w:r>
        <w:rPr>
          <w:bCs/>
        </w:rPr>
        <w:t>seiner hohen Einwohner</w:t>
      </w:r>
      <w:r w:rsidR="007145BF">
        <w:rPr>
          <w:bCs/>
        </w:rPr>
        <w:t xml:space="preserve">zahl: Je mehr Menschen in einem Land leben, desto mehr </w:t>
      </w:r>
      <w:r w:rsidR="00D50AD0">
        <w:rPr>
          <w:bCs/>
        </w:rPr>
        <w:t xml:space="preserve">wird produziert, auch wenn jeder genauso viel produziert wie vorher. Das  gleiche gilt für die </w:t>
      </w:r>
      <w:r w:rsidR="007145BF">
        <w:rPr>
          <w:bCs/>
        </w:rPr>
        <w:t>Um</w:t>
      </w:r>
      <w:r w:rsidR="00D50AD0">
        <w:rPr>
          <w:bCs/>
        </w:rPr>
        <w:t>weltbelastung</w:t>
      </w:r>
      <w:r w:rsidR="007145BF">
        <w:rPr>
          <w:bCs/>
        </w:rPr>
        <w:t>.</w:t>
      </w:r>
      <w:r w:rsidR="00312D72">
        <w:rPr>
          <w:bCs/>
        </w:rPr>
        <w:t xml:space="preserve"> Deswegen reicht es nicht, nur auf die absoluten Zahlen zu sehen. Wichtig für einen Vergleich ist auch, wie hoch die Wirtschaftsleistung und der CO</w:t>
      </w:r>
      <w:r w:rsidR="00312D72" w:rsidRPr="00312D72">
        <w:rPr>
          <w:bCs/>
          <w:vertAlign w:val="subscript"/>
        </w:rPr>
        <w:t>2</w:t>
      </w:r>
      <w:r w:rsidR="00312D72">
        <w:rPr>
          <w:bCs/>
        </w:rPr>
        <w:t xml:space="preserve">-Ausstoß jeweils Pro-Kopf der Bevölkerung sind. Dabei </w:t>
      </w:r>
      <w:r>
        <w:rPr>
          <w:bCs/>
        </w:rPr>
        <w:t xml:space="preserve">bleibt das </w:t>
      </w:r>
      <w:r w:rsidR="00E74964">
        <w:rPr>
          <w:bCs/>
        </w:rPr>
        <w:t>ungünstige Verhältnis von CO</w:t>
      </w:r>
      <w:r w:rsidR="00E74964" w:rsidRPr="00E74964">
        <w:rPr>
          <w:bCs/>
          <w:vertAlign w:val="subscript"/>
        </w:rPr>
        <w:t>2</w:t>
      </w:r>
      <w:r w:rsidR="00E74964">
        <w:rPr>
          <w:bCs/>
        </w:rPr>
        <w:t xml:space="preserve">-Ausstoß </w:t>
      </w:r>
      <w:r w:rsidR="00312D72">
        <w:rPr>
          <w:bCs/>
        </w:rPr>
        <w:t xml:space="preserve">(M 3) </w:t>
      </w:r>
      <w:r w:rsidR="00E74964">
        <w:rPr>
          <w:bCs/>
        </w:rPr>
        <w:t>zu Wirtschaftsleis</w:t>
      </w:r>
      <w:r>
        <w:rPr>
          <w:bCs/>
        </w:rPr>
        <w:t>tung</w:t>
      </w:r>
      <w:r w:rsidR="00E74964">
        <w:rPr>
          <w:bCs/>
        </w:rPr>
        <w:t xml:space="preserve"> </w:t>
      </w:r>
      <w:r w:rsidR="00312D72">
        <w:rPr>
          <w:bCs/>
        </w:rPr>
        <w:t xml:space="preserve">(M 4) zwar </w:t>
      </w:r>
      <w:r w:rsidR="00E74964">
        <w:rPr>
          <w:bCs/>
        </w:rPr>
        <w:t>bestehen</w:t>
      </w:r>
      <w:r>
        <w:rPr>
          <w:bCs/>
        </w:rPr>
        <w:t xml:space="preserve">, aber in Bezug auf jeden </w:t>
      </w:r>
      <w:r w:rsidR="00312D72">
        <w:rPr>
          <w:bCs/>
        </w:rPr>
        <w:t>e</w:t>
      </w:r>
      <w:r>
        <w:rPr>
          <w:bCs/>
        </w:rPr>
        <w:t>i</w:t>
      </w:r>
      <w:r>
        <w:rPr>
          <w:bCs/>
        </w:rPr>
        <w:t>n</w:t>
      </w:r>
      <w:r>
        <w:rPr>
          <w:bCs/>
        </w:rPr>
        <w:t>zelnen Einwohner liegt China hier weit hinter anderen Ländern, die in der Klimadebatte kaum eine Rolle spielen</w:t>
      </w:r>
      <w:r w:rsidR="00EE469B">
        <w:rPr>
          <w:bCs/>
        </w:rPr>
        <w:t xml:space="preserve"> (Katar, Trinidad a</w:t>
      </w:r>
      <w:bookmarkStart w:id="0" w:name="_GoBack"/>
      <w:bookmarkEnd w:id="0"/>
      <w:r w:rsidR="00EE469B">
        <w:rPr>
          <w:bCs/>
        </w:rPr>
        <w:t>nd Tobago etc.)</w:t>
      </w:r>
      <w:r w:rsidR="00E74964">
        <w:rPr>
          <w:bCs/>
        </w:rPr>
        <w:t xml:space="preserve">. </w:t>
      </w:r>
    </w:p>
    <w:p w:rsidR="0032706B" w:rsidRDefault="0032706B" w:rsidP="0032706B">
      <w:pPr>
        <w:spacing w:after="120"/>
        <w:jc w:val="both"/>
      </w:pPr>
      <w:r w:rsidRPr="0032706B">
        <w:t>Hinsichtlich der Entwicklung in China und Deutschland ist zunächst festzustellen</w:t>
      </w:r>
      <w:r>
        <w:t xml:space="preserve">, dass </w:t>
      </w:r>
      <w:r w:rsidR="00D25B6C">
        <w:br/>
      </w:r>
      <w:r>
        <w:t xml:space="preserve">Chinas Einwohnerzahl nicht nur viel größer ist als die Deutschlands, sondern dass Chinas Bevölkerung insgesamt noch stark wächst, während </w:t>
      </w:r>
      <w:proofErr w:type="gramStart"/>
      <w:r>
        <w:t>die</w:t>
      </w:r>
      <w:proofErr w:type="gramEnd"/>
      <w:r>
        <w:t xml:space="preserve"> Einwohnerzahl in Deutschland sta</w:t>
      </w:r>
      <w:r>
        <w:t>g</w:t>
      </w:r>
      <w:r>
        <w:t>niert bzw. sogar leicht sinkt</w:t>
      </w:r>
      <w:r w:rsidR="00312D72">
        <w:t xml:space="preserve"> (M 5)</w:t>
      </w:r>
      <w:r>
        <w:t xml:space="preserve">. Deutlich schneller als die Bevölkerung wachsen in China die Wirtschaftsleistung </w:t>
      </w:r>
      <w:r w:rsidR="00312D72">
        <w:t xml:space="preserve">(M 6) </w:t>
      </w:r>
      <w:r>
        <w:t>und der CO</w:t>
      </w:r>
      <w:r w:rsidRPr="0032706B">
        <w:rPr>
          <w:vertAlign w:val="subscript"/>
        </w:rPr>
        <w:t>2</w:t>
      </w:r>
      <w:r>
        <w:t>-Ausstoß</w:t>
      </w:r>
      <w:r w:rsidR="00312D72">
        <w:t xml:space="preserve"> (M 7)</w:t>
      </w:r>
      <w:r>
        <w:t>. In Deutschland wächst die Wir</w:t>
      </w:r>
      <w:r>
        <w:t>t</w:t>
      </w:r>
      <w:r>
        <w:t>schaft trotz abnehmender Bevölkerung ebenfalls</w:t>
      </w:r>
      <w:r w:rsidR="00312D72">
        <w:t xml:space="preserve"> (M 5 und M 6)</w:t>
      </w:r>
      <w:r>
        <w:t>. Dabei sinkt allerdings der CO</w:t>
      </w:r>
      <w:r w:rsidRPr="0032706B">
        <w:rPr>
          <w:vertAlign w:val="subscript"/>
        </w:rPr>
        <w:t>2</w:t>
      </w:r>
      <w:r>
        <w:t>-Ausstoß</w:t>
      </w:r>
      <w:r w:rsidR="00312D72">
        <w:t xml:space="preserve"> (M 7)</w:t>
      </w:r>
      <w:r>
        <w:t>.</w:t>
      </w:r>
    </w:p>
    <w:tbl>
      <w:tblPr>
        <w:tblStyle w:val="Tabellengitternetz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794"/>
        <w:gridCol w:w="2805"/>
        <w:gridCol w:w="2805"/>
        <w:gridCol w:w="2806"/>
      </w:tblGrid>
      <w:tr w:rsidR="00BF5224" w:rsidTr="00933A41">
        <w:tc>
          <w:tcPr>
            <w:tcW w:w="794" w:type="dxa"/>
            <w:shd w:val="clear" w:color="auto" w:fill="B8CCE4" w:themeFill="accent1" w:themeFillTint="66"/>
            <w:vAlign w:val="center"/>
          </w:tcPr>
          <w:p w:rsidR="00BF5224" w:rsidRPr="00BF5224" w:rsidRDefault="00BF5224" w:rsidP="00BF5224">
            <w:pPr>
              <w:jc w:val="center"/>
              <w:rPr>
                <w:b/>
                <w:bCs/>
              </w:rPr>
            </w:pPr>
          </w:p>
        </w:tc>
        <w:tc>
          <w:tcPr>
            <w:tcW w:w="2805" w:type="dxa"/>
            <w:shd w:val="clear" w:color="auto" w:fill="B8CCE4" w:themeFill="accent1" w:themeFillTint="66"/>
            <w:vAlign w:val="center"/>
          </w:tcPr>
          <w:p w:rsidR="00BF5224" w:rsidRPr="00BF5224" w:rsidRDefault="00BF5224" w:rsidP="00BF5224">
            <w:pPr>
              <w:jc w:val="center"/>
              <w:rPr>
                <w:b/>
                <w:bCs/>
              </w:rPr>
            </w:pPr>
            <w:r w:rsidRPr="00BF5224">
              <w:rPr>
                <w:b/>
                <w:bCs/>
              </w:rPr>
              <w:t>Absolute Zahlen</w:t>
            </w:r>
          </w:p>
        </w:tc>
        <w:tc>
          <w:tcPr>
            <w:tcW w:w="2805" w:type="dxa"/>
            <w:shd w:val="clear" w:color="auto" w:fill="B8CCE4" w:themeFill="accent1" w:themeFillTint="66"/>
            <w:vAlign w:val="center"/>
          </w:tcPr>
          <w:p w:rsidR="00BF5224" w:rsidRPr="00BF5224" w:rsidRDefault="00BF5224" w:rsidP="00BF5224">
            <w:pPr>
              <w:jc w:val="center"/>
              <w:rPr>
                <w:b/>
                <w:bCs/>
              </w:rPr>
            </w:pPr>
            <w:r w:rsidRPr="00BF5224">
              <w:rPr>
                <w:b/>
                <w:bCs/>
              </w:rPr>
              <w:t>Pro-Kopf-Zahlen</w:t>
            </w:r>
          </w:p>
        </w:tc>
        <w:tc>
          <w:tcPr>
            <w:tcW w:w="2806" w:type="dxa"/>
            <w:shd w:val="clear" w:color="auto" w:fill="B8CCE4" w:themeFill="accent1" w:themeFillTint="66"/>
            <w:vAlign w:val="center"/>
          </w:tcPr>
          <w:p w:rsidR="00BF5224" w:rsidRPr="00BF5224" w:rsidRDefault="00BF5224" w:rsidP="00BF5224">
            <w:pPr>
              <w:jc w:val="center"/>
              <w:rPr>
                <w:b/>
                <w:bCs/>
              </w:rPr>
            </w:pPr>
            <w:r w:rsidRPr="00BF5224">
              <w:rPr>
                <w:b/>
                <w:bCs/>
              </w:rPr>
              <w:t>Entwicklung</w:t>
            </w:r>
          </w:p>
        </w:tc>
      </w:tr>
      <w:tr w:rsidR="00BF5224" w:rsidTr="00D25B6C">
        <w:tc>
          <w:tcPr>
            <w:tcW w:w="794" w:type="dxa"/>
            <w:shd w:val="clear" w:color="auto" w:fill="DBE5F1" w:themeFill="accent1" w:themeFillTint="33"/>
            <w:vAlign w:val="center"/>
          </w:tcPr>
          <w:p w:rsidR="00BF5224" w:rsidRPr="00BF5224" w:rsidRDefault="00BF5224" w:rsidP="00BF5224">
            <w:pPr>
              <w:jc w:val="center"/>
              <w:rPr>
                <w:b/>
                <w:bCs/>
              </w:rPr>
            </w:pPr>
            <w:r w:rsidRPr="00BF5224">
              <w:rPr>
                <w:b/>
                <w:bCs/>
              </w:rPr>
              <w:t>P</w:t>
            </w:r>
            <w:r w:rsidR="002A2A2A">
              <w:rPr>
                <w:b/>
                <w:bCs/>
              </w:rPr>
              <w:t>ro</w:t>
            </w:r>
          </w:p>
        </w:tc>
        <w:tc>
          <w:tcPr>
            <w:tcW w:w="2805" w:type="dxa"/>
          </w:tcPr>
          <w:p w:rsidR="00BF5224" w:rsidRDefault="00BF5224" w:rsidP="00D25B6C">
            <w:pPr>
              <w:pStyle w:val="Listenabsatz"/>
              <w:numPr>
                <w:ilvl w:val="0"/>
                <w:numId w:val="18"/>
              </w:numPr>
            </w:pPr>
            <w:r>
              <w:t>Land mit dem größten CO</w:t>
            </w:r>
            <w:r w:rsidRPr="00BF5224">
              <w:rPr>
                <w:vertAlign w:val="subscript"/>
              </w:rPr>
              <w:t>2</w:t>
            </w:r>
            <w:r>
              <w:t>-Ausstoß</w:t>
            </w:r>
          </w:p>
          <w:p w:rsidR="00BF5224" w:rsidRDefault="00BF5224" w:rsidP="00D25B6C">
            <w:pPr>
              <w:pStyle w:val="Listenabsatz"/>
              <w:numPr>
                <w:ilvl w:val="0"/>
                <w:numId w:val="18"/>
              </w:numPr>
            </w:pPr>
            <w:r>
              <w:t>hoher CO</w:t>
            </w:r>
            <w:r w:rsidRPr="00BF5224">
              <w:rPr>
                <w:vertAlign w:val="subscript"/>
              </w:rPr>
              <w:t>2</w:t>
            </w:r>
            <w:r>
              <w:t>-Ausstoß im Vergleich zur Wir</w:t>
            </w:r>
            <w:r>
              <w:t>t</w:t>
            </w:r>
            <w:r>
              <w:t>schaftsleistung</w:t>
            </w:r>
          </w:p>
          <w:p w:rsidR="00D25B6C" w:rsidRDefault="00D25B6C" w:rsidP="00D25B6C">
            <w:pPr>
              <w:pStyle w:val="Listenabsatz"/>
              <w:ind w:left="0"/>
            </w:pPr>
          </w:p>
        </w:tc>
        <w:tc>
          <w:tcPr>
            <w:tcW w:w="2805" w:type="dxa"/>
            <w:vAlign w:val="center"/>
          </w:tcPr>
          <w:p w:rsidR="00BF5224" w:rsidRDefault="00BF5224" w:rsidP="00BF5224"/>
        </w:tc>
        <w:tc>
          <w:tcPr>
            <w:tcW w:w="2806" w:type="dxa"/>
            <w:vAlign w:val="center"/>
          </w:tcPr>
          <w:p w:rsidR="00BF5224" w:rsidRDefault="00933A41" w:rsidP="002A2A2A">
            <w:pPr>
              <w:pStyle w:val="Listenabsatz"/>
              <w:numPr>
                <w:ilvl w:val="0"/>
                <w:numId w:val="20"/>
              </w:numPr>
            </w:pPr>
            <w:r>
              <w:t>C</w:t>
            </w:r>
            <w:r w:rsidR="002A2A2A">
              <w:t>O</w:t>
            </w:r>
            <w:r w:rsidR="002A2A2A" w:rsidRPr="00E54E83">
              <w:rPr>
                <w:vertAlign w:val="subscript"/>
              </w:rPr>
              <w:t>2</w:t>
            </w:r>
            <w:r>
              <w:t>-Ausstoß und Wirtschaftsleistung nehmen schneller zu als die Einwohnerzahl</w:t>
            </w:r>
          </w:p>
          <w:p w:rsidR="00933A41" w:rsidRDefault="00933A41" w:rsidP="005943CA">
            <w:pPr>
              <w:pStyle w:val="Listenabsatz"/>
              <w:numPr>
                <w:ilvl w:val="0"/>
                <w:numId w:val="20"/>
              </w:numPr>
            </w:pPr>
            <w:r>
              <w:t>C</w:t>
            </w:r>
            <w:r w:rsidR="002A2A2A">
              <w:t>O</w:t>
            </w:r>
            <w:r w:rsidR="002A2A2A" w:rsidRPr="00E54E83">
              <w:rPr>
                <w:vertAlign w:val="subscript"/>
              </w:rPr>
              <w:t>2</w:t>
            </w:r>
            <w:r>
              <w:t>-Ausstoß und Wirtschaftsleistung sind nicht entkoppelt wie in Deutschland</w:t>
            </w:r>
          </w:p>
        </w:tc>
      </w:tr>
      <w:tr w:rsidR="00BF5224" w:rsidTr="00933A41">
        <w:tc>
          <w:tcPr>
            <w:tcW w:w="794" w:type="dxa"/>
            <w:shd w:val="clear" w:color="auto" w:fill="DBE5F1" w:themeFill="accent1" w:themeFillTint="33"/>
            <w:vAlign w:val="center"/>
          </w:tcPr>
          <w:p w:rsidR="00BF5224" w:rsidRPr="00BF5224" w:rsidRDefault="002A2A2A" w:rsidP="002A2A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</w:t>
            </w:r>
          </w:p>
        </w:tc>
        <w:tc>
          <w:tcPr>
            <w:tcW w:w="2805" w:type="dxa"/>
            <w:vAlign w:val="center"/>
          </w:tcPr>
          <w:p w:rsidR="00BF5224" w:rsidRDefault="00BF5224" w:rsidP="00BF5224"/>
        </w:tc>
        <w:tc>
          <w:tcPr>
            <w:tcW w:w="2805" w:type="dxa"/>
            <w:vAlign w:val="center"/>
          </w:tcPr>
          <w:p w:rsidR="00BF5224" w:rsidRDefault="00BF5224" w:rsidP="002A2A2A">
            <w:pPr>
              <w:pStyle w:val="Listenabsatz"/>
              <w:numPr>
                <w:ilvl w:val="0"/>
                <w:numId w:val="20"/>
              </w:numPr>
            </w:pPr>
            <w:r>
              <w:t>bei C</w:t>
            </w:r>
            <w:r w:rsidR="002A2A2A">
              <w:t>O</w:t>
            </w:r>
            <w:r w:rsidR="002A2A2A" w:rsidRPr="00E54E83">
              <w:rPr>
                <w:vertAlign w:val="subscript"/>
              </w:rPr>
              <w:t>2</w:t>
            </w:r>
            <w:r>
              <w:t>-Ausstoß nicht unter den Top Ten</w:t>
            </w:r>
          </w:p>
          <w:p w:rsidR="00BF5224" w:rsidRDefault="00BF5224" w:rsidP="002A2A2A">
            <w:pPr>
              <w:pStyle w:val="Listenabsatz"/>
              <w:numPr>
                <w:ilvl w:val="0"/>
                <w:numId w:val="20"/>
              </w:numPr>
            </w:pPr>
            <w:r>
              <w:t>C</w:t>
            </w:r>
            <w:r w:rsidR="002A2A2A">
              <w:t>O</w:t>
            </w:r>
            <w:r w:rsidR="002A2A2A" w:rsidRPr="00E54E83">
              <w:rPr>
                <w:vertAlign w:val="subscript"/>
              </w:rPr>
              <w:t>2</w:t>
            </w:r>
            <w:r>
              <w:t>-Ausstoß niedrige</w:t>
            </w:r>
            <w:r w:rsidR="0069641C">
              <w:t>r</w:t>
            </w:r>
            <w:r>
              <w:t xml:space="preserve"> als in Deutschland oder im UK</w:t>
            </w:r>
          </w:p>
          <w:p w:rsidR="00BF5224" w:rsidRDefault="00BF5224" w:rsidP="00D25B6C">
            <w:pPr>
              <w:pStyle w:val="Listenabsatz"/>
              <w:numPr>
                <w:ilvl w:val="0"/>
                <w:numId w:val="19"/>
              </w:numPr>
            </w:pPr>
            <w:r>
              <w:t>bei der Wirtschaftsle</w:t>
            </w:r>
            <w:r>
              <w:t>i</w:t>
            </w:r>
            <w:r>
              <w:t>stung nicht unter den Top Ten</w:t>
            </w:r>
          </w:p>
          <w:p w:rsidR="00F15200" w:rsidRDefault="00F15200" w:rsidP="00D25B6C">
            <w:pPr>
              <w:pStyle w:val="Listenabsatz"/>
              <w:numPr>
                <w:ilvl w:val="0"/>
                <w:numId w:val="19"/>
              </w:numPr>
            </w:pPr>
            <w:r>
              <w:t>Wirtschaftsleistung weit niedriger als in Deutschland oder im UK</w:t>
            </w:r>
          </w:p>
        </w:tc>
        <w:tc>
          <w:tcPr>
            <w:tcW w:w="2806" w:type="dxa"/>
            <w:vAlign w:val="center"/>
          </w:tcPr>
          <w:p w:rsidR="00BF5224" w:rsidRDefault="00933A41" w:rsidP="005943CA">
            <w:pPr>
              <w:pStyle w:val="Listenabsatz"/>
              <w:numPr>
                <w:ilvl w:val="0"/>
                <w:numId w:val="20"/>
              </w:numPr>
            </w:pPr>
            <w:r>
              <w:t>C</w:t>
            </w:r>
            <w:r w:rsidR="002A2A2A">
              <w:t>O</w:t>
            </w:r>
            <w:r w:rsidR="002A2A2A" w:rsidRPr="00E54E83">
              <w:rPr>
                <w:vertAlign w:val="subscript"/>
              </w:rPr>
              <w:t>2</w:t>
            </w:r>
            <w:r>
              <w:t>-Ausstoß und Wirtschaftsleistung nehmen zu = nach</w:t>
            </w:r>
            <w:r w:rsidR="002A2A2A">
              <w:softHyphen/>
            </w:r>
            <w:r>
              <w:t>holende Entwicklung</w:t>
            </w:r>
          </w:p>
        </w:tc>
      </w:tr>
    </w:tbl>
    <w:p w:rsidR="00BF5224" w:rsidRDefault="00B71EEA" w:rsidP="0032706B">
      <w:pPr>
        <w:spacing w:after="120"/>
        <w:jc w:val="both"/>
      </w:pPr>
      <w:r>
        <w:rPr>
          <w:noProof/>
          <w:lang w:eastAsia="de-DE"/>
        </w:rPr>
        <w:drawing>
          <wp:inline distT="0" distB="0" distL="0" distR="0">
            <wp:extent cx="1223010" cy="425450"/>
            <wp:effectExtent l="19050" t="0" r="0" b="0"/>
            <wp:docPr id="1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p w:rsidR="0032706B" w:rsidRDefault="0032706B" w:rsidP="00312D72">
      <w:pPr>
        <w:spacing w:after="120"/>
        <w:jc w:val="both"/>
      </w:pPr>
      <w:r>
        <w:lastRenderedPageBreak/>
        <w:t>Eine Beu</w:t>
      </w:r>
      <w:r w:rsidR="00C34F5F">
        <w:t>rteilung Chinas als Klimasünder lässt sich mittels der absoluten Daten und der R</w:t>
      </w:r>
      <w:r w:rsidR="00C34F5F">
        <w:t>e</w:t>
      </w:r>
      <w:r w:rsidR="00C34F5F">
        <w:t>lation von Wirtschaftsleistung und CO</w:t>
      </w:r>
      <w:r w:rsidR="00C34F5F" w:rsidRPr="00C34F5F">
        <w:rPr>
          <w:vertAlign w:val="subscript"/>
        </w:rPr>
        <w:t>2</w:t>
      </w:r>
      <w:r w:rsidR="001D06E4">
        <w:t>-Ausstoß</w:t>
      </w:r>
      <w:r w:rsidR="00C34F5F">
        <w:t xml:space="preserve"> begründen. Differenziert werden muss diese Beurteilung allerdings hinsichtlich des von China immer wieder vorgebrachten Arguments der nachholenden Entwicklung: Die Wirtschaftsleistung Pro-Kopf ist bisher noch ve</w:t>
      </w:r>
      <w:r w:rsidR="00C34F5F">
        <w:t>r</w:t>
      </w:r>
      <w:r w:rsidR="00C34F5F">
        <w:t>glei</w:t>
      </w:r>
      <w:r w:rsidR="001D06E4">
        <w:t>chsweise gering. Und auch der CO</w:t>
      </w:r>
      <w:r w:rsidR="00C34F5F" w:rsidRPr="00D1607E">
        <w:rPr>
          <w:vertAlign w:val="subscript"/>
        </w:rPr>
        <w:t>2</w:t>
      </w:r>
      <w:r w:rsidR="00C34F5F">
        <w:t>-Ausstoß Pro-Kopf liegt noch deutlich unter dem in Deutschland.</w:t>
      </w:r>
    </w:p>
    <w:p w:rsidR="0032706B" w:rsidRDefault="0032706B" w:rsidP="00D1607E">
      <w:pPr>
        <w:spacing w:after="120"/>
        <w:rPr>
          <w:b/>
          <w:bCs/>
        </w:rPr>
      </w:pPr>
    </w:p>
    <w:p w:rsidR="00B94BD8" w:rsidRPr="006D7163" w:rsidRDefault="006D7163" w:rsidP="00D1607E">
      <w:pPr>
        <w:spacing w:line="240" w:lineRule="auto"/>
        <w:rPr>
          <w:b/>
          <w:bCs/>
        </w:rPr>
      </w:pPr>
      <w:r w:rsidRPr="006D7163">
        <w:rPr>
          <w:b/>
          <w:bCs/>
        </w:rPr>
        <w:t>Anmerkung:</w:t>
      </w:r>
    </w:p>
    <w:p w:rsidR="006D7163" w:rsidRDefault="006D7163" w:rsidP="00D1607E">
      <w:pPr>
        <w:spacing w:line="240" w:lineRule="auto"/>
      </w:pPr>
    </w:p>
    <w:p w:rsidR="00E54E83" w:rsidRDefault="001F216A" w:rsidP="001F216A">
      <w:pPr>
        <w:spacing w:after="120"/>
        <w:jc w:val="both"/>
      </w:pPr>
      <w:r>
        <w:t xml:space="preserve">Da das Themafeld Klimawandel und Klimaschutz als Beispiel für internationale Konflikte und Konfliktlösungen der Doppeljahrgangsstufe 9/10 zugeordnet ist, soll diese Aufgabe vor allem zeigen, welche grundlegenden Kompetenzen und Kenntnisse </w:t>
      </w:r>
      <w:r w:rsidR="005943CA">
        <w:t xml:space="preserve">auf den Stufen E bis F </w:t>
      </w:r>
      <w:r>
        <w:t>no</w:t>
      </w:r>
      <w:r>
        <w:t>t</w:t>
      </w:r>
      <w:r>
        <w:t xml:space="preserve">wendig sind, um die Anforderungen der Niveaustufe G erfüllen zu können. </w:t>
      </w:r>
    </w:p>
    <w:p w:rsidR="00C34F5F" w:rsidRDefault="007145BF" w:rsidP="001F216A">
      <w:pPr>
        <w:spacing w:after="120"/>
        <w:jc w:val="both"/>
      </w:pPr>
      <w:r>
        <w:t xml:space="preserve">Der Vergleichswert für </w:t>
      </w:r>
      <w:r w:rsidR="00931DB9">
        <w:t xml:space="preserve">das Vereinigte Königreich (engl. </w:t>
      </w:r>
      <w:r>
        <w:t>Uni</w:t>
      </w:r>
      <w:r w:rsidR="00931DB9">
        <w:t xml:space="preserve">ted Kingdom, kurz </w:t>
      </w:r>
      <w:r>
        <w:t>UK)</w:t>
      </w:r>
      <w:r w:rsidR="001F216A">
        <w:t xml:space="preserve"> dient deswegen </w:t>
      </w:r>
      <w:r w:rsidR="00D1607E">
        <w:t xml:space="preserve">der Hinführung zu der weiterführenden Aufgabe auf </w:t>
      </w:r>
      <w:r w:rsidR="002A2A2A">
        <w:t xml:space="preserve">der </w:t>
      </w:r>
      <w:r w:rsidR="00D1607E">
        <w:t>Niveaustufe G. Die Ve</w:t>
      </w:r>
      <w:r w:rsidR="00D1607E">
        <w:t>r</w:t>
      </w:r>
      <w:r w:rsidR="00D1607E">
        <w:t>gleichswerte der anderen Länder sollen den Schüler</w:t>
      </w:r>
      <w:r w:rsidR="005943CA">
        <w:t xml:space="preserve">innen und Schülern </w:t>
      </w:r>
      <w:r w:rsidR="00D1607E">
        <w:t>helfen, die absolu</w:t>
      </w:r>
      <w:r w:rsidR="00D1607E">
        <w:t>t</w:t>
      </w:r>
      <w:r w:rsidR="00D1607E">
        <w:t xml:space="preserve">en Werte mit den Pro-Kopf-Werten leichter in Beziehung zu setzen. </w:t>
      </w:r>
    </w:p>
    <w:p w:rsidR="001F216A" w:rsidRDefault="00E54E83" w:rsidP="00E54E83">
      <w:pPr>
        <w:spacing w:after="120"/>
        <w:jc w:val="both"/>
      </w:pPr>
      <w:r>
        <w:t>Ebenso bereiten die Daten zur Entwicklung der Einwohnerzahl, der Wirtschaftsleistung und des CO</w:t>
      </w:r>
      <w:r w:rsidRPr="00E54E83">
        <w:rPr>
          <w:vertAlign w:val="subscript"/>
        </w:rPr>
        <w:t>2</w:t>
      </w:r>
      <w:r>
        <w:t>-Ausstoßes in China und Deutschland (M 5 bis 7) die weiterführende Aufgabe vor. Sie können je nach Leistungsstärke der Lernenden im Kontext der Pro- und Contra-Darstellung genutzt oder erst auf Niveaustufe G eingeführt werden. Werden sie auf Nivea</w:t>
      </w:r>
      <w:r>
        <w:t>u</w:t>
      </w:r>
      <w:r>
        <w:t>stufe E-F genutzt, dienen sie der Differenzierung. Werden sie auf Niveaustufe G genutzt, dienen sie der vorbereitenden Information.</w:t>
      </w:r>
    </w:p>
    <w:p w:rsidR="00B71EEA" w:rsidRDefault="00B71EEA" w:rsidP="00E54E83">
      <w:pPr>
        <w:spacing w:after="120"/>
        <w:jc w:val="both"/>
      </w:pPr>
    </w:p>
    <w:p w:rsidR="00B71EEA" w:rsidRDefault="00B71EEA" w:rsidP="00E54E83">
      <w:pPr>
        <w:spacing w:after="120"/>
        <w:jc w:val="both"/>
      </w:pPr>
    </w:p>
    <w:p w:rsidR="00B71EEA" w:rsidRDefault="00B71EEA" w:rsidP="00E54E83">
      <w:pPr>
        <w:spacing w:after="120"/>
        <w:jc w:val="both"/>
      </w:pPr>
    </w:p>
    <w:p w:rsidR="00B71EEA" w:rsidRDefault="00B71EEA" w:rsidP="00E54E83">
      <w:pPr>
        <w:spacing w:after="120"/>
        <w:jc w:val="both"/>
      </w:pPr>
    </w:p>
    <w:p w:rsidR="00B71EEA" w:rsidRDefault="00B71EEA" w:rsidP="00E54E83">
      <w:pPr>
        <w:spacing w:after="120"/>
        <w:jc w:val="both"/>
      </w:pPr>
    </w:p>
    <w:p w:rsidR="00B71EEA" w:rsidRDefault="00B71EEA" w:rsidP="00E54E83">
      <w:pPr>
        <w:spacing w:after="120"/>
        <w:jc w:val="both"/>
      </w:pPr>
    </w:p>
    <w:p w:rsidR="00B71EEA" w:rsidRDefault="00B71EEA" w:rsidP="00E54E83">
      <w:pPr>
        <w:spacing w:after="120"/>
        <w:jc w:val="both"/>
      </w:pPr>
    </w:p>
    <w:p w:rsidR="00B71EEA" w:rsidRDefault="00B71EEA" w:rsidP="00E54E83">
      <w:pPr>
        <w:spacing w:after="120"/>
        <w:jc w:val="both"/>
      </w:pPr>
    </w:p>
    <w:p w:rsidR="00B71EEA" w:rsidRDefault="00B71EEA" w:rsidP="00E54E83">
      <w:pPr>
        <w:spacing w:after="120"/>
        <w:jc w:val="both"/>
      </w:pPr>
    </w:p>
    <w:p w:rsidR="00B71EEA" w:rsidRDefault="00B71EEA" w:rsidP="00E54E83">
      <w:pPr>
        <w:spacing w:after="120"/>
        <w:jc w:val="both"/>
      </w:pPr>
    </w:p>
    <w:p w:rsidR="00B71EEA" w:rsidRDefault="00B71EEA" w:rsidP="00E54E83">
      <w:pPr>
        <w:spacing w:after="120"/>
        <w:jc w:val="both"/>
      </w:pPr>
    </w:p>
    <w:p w:rsidR="00B71EEA" w:rsidRDefault="00B71EEA" w:rsidP="00E54E83">
      <w:pPr>
        <w:spacing w:after="120"/>
        <w:jc w:val="both"/>
      </w:pPr>
    </w:p>
    <w:p w:rsidR="00B71EEA" w:rsidRDefault="00B71EEA" w:rsidP="00E54E83">
      <w:pPr>
        <w:spacing w:after="120"/>
        <w:jc w:val="both"/>
      </w:pPr>
    </w:p>
    <w:p w:rsidR="00B71EEA" w:rsidRDefault="00B71EEA" w:rsidP="00E54E83">
      <w:pPr>
        <w:spacing w:after="120"/>
        <w:jc w:val="both"/>
      </w:pPr>
    </w:p>
    <w:p w:rsidR="00B71EEA" w:rsidRDefault="00B71EEA" w:rsidP="00E54E83">
      <w:pPr>
        <w:spacing w:after="120"/>
        <w:jc w:val="both"/>
      </w:pPr>
    </w:p>
    <w:p w:rsidR="00B71EEA" w:rsidRDefault="00B71EEA" w:rsidP="00E54E83">
      <w:pPr>
        <w:spacing w:after="120"/>
        <w:jc w:val="both"/>
      </w:pPr>
      <w:r>
        <w:rPr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18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B71EEA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04" w:rsidRDefault="005B3604" w:rsidP="00837EC7">
      <w:pPr>
        <w:spacing w:line="240" w:lineRule="auto"/>
      </w:pPr>
      <w:r>
        <w:separator/>
      </w:r>
    </w:p>
  </w:endnote>
  <w:endnote w:type="continuationSeparator" w:id="0">
    <w:p w:rsidR="005B3604" w:rsidRDefault="005B3604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216160">
          <w:fldChar w:fldCharType="begin"/>
        </w:r>
        <w:r w:rsidR="006140E1">
          <w:instrText xml:space="preserve"> PAGE   \* MERGEFORMAT </w:instrText>
        </w:r>
        <w:r w:rsidR="00216160">
          <w:fldChar w:fldCharType="separate"/>
        </w:r>
        <w:r w:rsidR="004E5D1D">
          <w:rPr>
            <w:noProof/>
          </w:rPr>
          <w:t>1</w:t>
        </w:r>
        <w:r w:rsidR="00216160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216160">
          <w:fldChar w:fldCharType="begin"/>
        </w:r>
        <w:r w:rsidR="006140E1">
          <w:instrText xml:space="preserve"> PAGE   \* MERGEFORMAT </w:instrText>
        </w:r>
        <w:r w:rsidR="00216160">
          <w:fldChar w:fldCharType="separate"/>
        </w:r>
        <w:r w:rsidR="004E5D1D">
          <w:rPr>
            <w:noProof/>
          </w:rPr>
          <w:t>9</w:t>
        </w:r>
        <w:r w:rsidR="00216160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04" w:rsidRDefault="005B3604" w:rsidP="00837EC7">
      <w:pPr>
        <w:spacing w:line="240" w:lineRule="auto"/>
      </w:pPr>
      <w:r>
        <w:separator/>
      </w:r>
    </w:p>
  </w:footnote>
  <w:footnote w:type="continuationSeparator" w:id="0">
    <w:p w:rsidR="005B3604" w:rsidRDefault="005B3604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C2598"/>
    <w:multiLevelType w:val="hybridMultilevel"/>
    <w:tmpl w:val="C734BF50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E725FE"/>
    <w:multiLevelType w:val="hybridMultilevel"/>
    <w:tmpl w:val="C2EEC254"/>
    <w:lvl w:ilvl="0" w:tplc="90126E9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85D77"/>
    <w:multiLevelType w:val="hybridMultilevel"/>
    <w:tmpl w:val="F716B410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014C34"/>
    <w:multiLevelType w:val="hybridMultilevel"/>
    <w:tmpl w:val="705624D2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C1C37"/>
    <w:multiLevelType w:val="hybridMultilevel"/>
    <w:tmpl w:val="BFF49582"/>
    <w:lvl w:ilvl="0" w:tplc="13027CA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1620E"/>
    <w:multiLevelType w:val="hybridMultilevel"/>
    <w:tmpl w:val="3D4CED92"/>
    <w:lvl w:ilvl="0" w:tplc="3C0852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439AA"/>
    <w:multiLevelType w:val="hybridMultilevel"/>
    <w:tmpl w:val="D2989C72"/>
    <w:lvl w:ilvl="0" w:tplc="544685F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D00C8"/>
    <w:multiLevelType w:val="hybridMultilevel"/>
    <w:tmpl w:val="52784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8"/>
  </w:num>
  <w:num w:numId="5">
    <w:abstractNumId w:val="1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11"/>
  </w:num>
  <w:num w:numId="12">
    <w:abstractNumId w:val="12"/>
  </w:num>
  <w:num w:numId="13">
    <w:abstractNumId w:val="5"/>
  </w:num>
  <w:num w:numId="14">
    <w:abstractNumId w:val="9"/>
  </w:num>
  <w:num w:numId="15">
    <w:abstractNumId w:val="0"/>
  </w:num>
  <w:num w:numId="16">
    <w:abstractNumId w:val="17"/>
  </w:num>
  <w:num w:numId="17">
    <w:abstractNumId w:val="15"/>
  </w:num>
  <w:num w:numId="18">
    <w:abstractNumId w:val="7"/>
  </w:num>
  <w:num w:numId="19">
    <w:abstractNumId w:val="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ocumentProtection w:edit="forms" w:enforcement="0"/>
  <w:defaultTabStop w:val="170"/>
  <w:autoHyphenation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CC6E7D"/>
    <w:rsid w:val="0004165F"/>
    <w:rsid w:val="00042D41"/>
    <w:rsid w:val="000679BF"/>
    <w:rsid w:val="000708BF"/>
    <w:rsid w:val="00074C4B"/>
    <w:rsid w:val="00084040"/>
    <w:rsid w:val="000A2A61"/>
    <w:rsid w:val="000A4B8B"/>
    <w:rsid w:val="000C26EB"/>
    <w:rsid w:val="000E768D"/>
    <w:rsid w:val="00106E7B"/>
    <w:rsid w:val="00133562"/>
    <w:rsid w:val="00136172"/>
    <w:rsid w:val="00142DFA"/>
    <w:rsid w:val="00155F4E"/>
    <w:rsid w:val="001634E6"/>
    <w:rsid w:val="00163D87"/>
    <w:rsid w:val="001663E6"/>
    <w:rsid w:val="00185133"/>
    <w:rsid w:val="001A15B7"/>
    <w:rsid w:val="001A71B9"/>
    <w:rsid w:val="001B043E"/>
    <w:rsid w:val="001B3572"/>
    <w:rsid w:val="001C03C8"/>
    <w:rsid w:val="001C09C9"/>
    <w:rsid w:val="001C2E8A"/>
    <w:rsid w:val="001C3197"/>
    <w:rsid w:val="001D06E4"/>
    <w:rsid w:val="001E7774"/>
    <w:rsid w:val="001F216A"/>
    <w:rsid w:val="001F319E"/>
    <w:rsid w:val="00202F49"/>
    <w:rsid w:val="00206E1F"/>
    <w:rsid w:val="00216160"/>
    <w:rsid w:val="0021665E"/>
    <w:rsid w:val="00220D37"/>
    <w:rsid w:val="00222C11"/>
    <w:rsid w:val="002348B8"/>
    <w:rsid w:val="002A04B8"/>
    <w:rsid w:val="002A2294"/>
    <w:rsid w:val="002A2A2A"/>
    <w:rsid w:val="002B14FC"/>
    <w:rsid w:val="002B35C4"/>
    <w:rsid w:val="002D3F70"/>
    <w:rsid w:val="002D55C9"/>
    <w:rsid w:val="002E1682"/>
    <w:rsid w:val="002F02B0"/>
    <w:rsid w:val="002F3C8C"/>
    <w:rsid w:val="00300E1A"/>
    <w:rsid w:val="00312D72"/>
    <w:rsid w:val="00321743"/>
    <w:rsid w:val="0032706B"/>
    <w:rsid w:val="00334567"/>
    <w:rsid w:val="00363539"/>
    <w:rsid w:val="0036565A"/>
    <w:rsid w:val="00372140"/>
    <w:rsid w:val="00381AB2"/>
    <w:rsid w:val="003A72F8"/>
    <w:rsid w:val="003C3094"/>
    <w:rsid w:val="003E7D0B"/>
    <w:rsid w:val="003F4234"/>
    <w:rsid w:val="0040115E"/>
    <w:rsid w:val="004072A0"/>
    <w:rsid w:val="00411347"/>
    <w:rsid w:val="00421CE5"/>
    <w:rsid w:val="00435F76"/>
    <w:rsid w:val="00445672"/>
    <w:rsid w:val="00445FB2"/>
    <w:rsid w:val="00467ABE"/>
    <w:rsid w:val="004851BE"/>
    <w:rsid w:val="0049671A"/>
    <w:rsid w:val="00496D76"/>
    <w:rsid w:val="004A3005"/>
    <w:rsid w:val="004C485B"/>
    <w:rsid w:val="004C5D31"/>
    <w:rsid w:val="004C77D3"/>
    <w:rsid w:val="004E5D1D"/>
    <w:rsid w:val="004E6C51"/>
    <w:rsid w:val="004F3656"/>
    <w:rsid w:val="004F65E3"/>
    <w:rsid w:val="005052CB"/>
    <w:rsid w:val="0052554E"/>
    <w:rsid w:val="00537A2A"/>
    <w:rsid w:val="005943CA"/>
    <w:rsid w:val="005960DF"/>
    <w:rsid w:val="005B04C1"/>
    <w:rsid w:val="005B3604"/>
    <w:rsid w:val="005C16CC"/>
    <w:rsid w:val="005C4443"/>
    <w:rsid w:val="005F16AB"/>
    <w:rsid w:val="005F1ACA"/>
    <w:rsid w:val="00611C23"/>
    <w:rsid w:val="006140E1"/>
    <w:rsid w:val="00646606"/>
    <w:rsid w:val="00650E01"/>
    <w:rsid w:val="0065323E"/>
    <w:rsid w:val="0065358B"/>
    <w:rsid w:val="00677337"/>
    <w:rsid w:val="00680403"/>
    <w:rsid w:val="006840B3"/>
    <w:rsid w:val="0069641C"/>
    <w:rsid w:val="006A22F8"/>
    <w:rsid w:val="006A599E"/>
    <w:rsid w:val="006C713F"/>
    <w:rsid w:val="006D084A"/>
    <w:rsid w:val="006D5EEA"/>
    <w:rsid w:val="006D7163"/>
    <w:rsid w:val="006D719E"/>
    <w:rsid w:val="006D7F9C"/>
    <w:rsid w:val="006E3A54"/>
    <w:rsid w:val="006E3F71"/>
    <w:rsid w:val="006F79D3"/>
    <w:rsid w:val="007024FB"/>
    <w:rsid w:val="00706544"/>
    <w:rsid w:val="007145BF"/>
    <w:rsid w:val="007357B6"/>
    <w:rsid w:val="00757A68"/>
    <w:rsid w:val="007621DD"/>
    <w:rsid w:val="007C1D1C"/>
    <w:rsid w:val="007C32D6"/>
    <w:rsid w:val="007C3E2C"/>
    <w:rsid w:val="007C752E"/>
    <w:rsid w:val="007D6937"/>
    <w:rsid w:val="007D6BA1"/>
    <w:rsid w:val="00800BD6"/>
    <w:rsid w:val="008109AD"/>
    <w:rsid w:val="008119C5"/>
    <w:rsid w:val="00820851"/>
    <w:rsid w:val="00825908"/>
    <w:rsid w:val="00826C8F"/>
    <w:rsid w:val="00837EC7"/>
    <w:rsid w:val="00857EB7"/>
    <w:rsid w:val="008A1768"/>
    <w:rsid w:val="008B04EE"/>
    <w:rsid w:val="008B1D49"/>
    <w:rsid w:val="008B6E6E"/>
    <w:rsid w:val="008C14FA"/>
    <w:rsid w:val="008E2ED1"/>
    <w:rsid w:val="008E7D45"/>
    <w:rsid w:val="008F78E6"/>
    <w:rsid w:val="00903564"/>
    <w:rsid w:val="00916A92"/>
    <w:rsid w:val="00931DB9"/>
    <w:rsid w:val="00933A41"/>
    <w:rsid w:val="00937B60"/>
    <w:rsid w:val="0095558E"/>
    <w:rsid w:val="00964E15"/>
    <w:rsid w:val="00971722"/>
    <w:rsid w:val="00992F12"/>
    <w:rsid w:val="009A1D85"/>
    <w:rsid w:val="009F42E4"/>
    <w:rsid w:val="009F4EA9"/>
    <w:rsid w:val="00A17707"/>
    <w:rsid w:val="00A20523"/>
    <w:rsid w:val="00A3652B"/>
    <w:rsid w:val="00A366CC"/>
    <w:rsid w:val="00A57E9B"/>
    <w:rsid w:val="00A804F8"/>
    <w:rsid w:val="00A828A1"/>
    <w:rsid w:val="00A973E5"/>
    <w:rsid w:val="00AB509B"/>
    <w:rsid w:val="00AC5DD4"/>
    <w:rsid w:val="00AD39E6"/>
    <w:rsid w:val="00AE2D84"/>
    <w:rsid w:val="00AE3A55"/>
    <w:rsid w:val="00B542E5"/>
    <w:rsid w:val="00B61AEC"/>
    <w:rsid w:val="00B71EEA"/>
    <w:rsid w:val="00B80807"/>
    <w:rsid w:val="00B8596D"/>
    <w:rsid w:val="00B94BD8"/>
    <w:rsid w:val="00BB7949"/>
    <w:rsid w:val="00BC763D"/>
    <w:rsid w:val="00BD7E76"/>
    <w:rsid w:val="00BE7704"/>
    <w:rsid w:val="00BF22FF"/>
    <w:rsid w:val="00BF2994"/>
    <w:rsid w:val="00BF4880"/>
    <w:rsid w:val="00BF5224"/>
    <w:rsid w:val="00C01D4F"/>
    <w:rsid w:val="00C0683D"/>
    <w:rsid w:val="00C16860"/>
    <w:rsid w:val="00C2632F"/>
    <w:rsid w:val="00C34F5F"/>
    <w:rsid w:val="00C47F23"/>
    <w:rsid w:val="00C5203B"/>
    <w:rsid w:val="00C6552D"/>
    <w:rsid w:val="00C72503"/>
    <w:rsid w:val="00C817D3"/>
    <w:rsid w:val="00CB3549"/>
    <w:rsid w:val="00CC06D2"/>
    <w:rsid w:val="00CC6E7D"/>
    <w:rsid w:val="00D0707C"/>
    <w:rsid w:val="00D1607E"/>
    <w:rsid w:val="00D226DE"/>
    <w:rsid w:val="00D25B6C"/>
    <w:rsid w:val="00D270BC"/>
    <w:rsid w:val="00D41BE0"/>
    <w:rsid w:val="00D50AD0"/>
    <w:rsid w:val="00D5644B"/>
    <w:rsid w:val="00D922C3"/>
    <w:rsid w:val="00D947BB"/>
    <w:rsid w:val="00DB67C2"/>
    <w:rsid w:val="00DC762A"/>
    <w:rsid w:val="00DD0C30"/>
    <w:rsid w:val="00DF308F"/>
    <w:rsid w:val="00DF406E"/>
    <w:rsid w:val="00DF7F97"/>
    <w:rsid w:val="00E16A0E"/>
    <w:rsid w:val="00E16B27"/>
    <w:rsid w:val="00E17560"/>
    <w:rsid w:val="00E54E83"/>
    <w:rsid w:val="00E579BF"/>
    <w:rsid w:val="00E72519"/>
    <w:rsid w:val="00E74964"/>
    <w:rsid w:val="00E84ADD"/>
    <w:rsid w:val="00E85DB9"/>
    <w:rsid w:val="00E86529"/>
    <w:rsid w:val="00E9679F"/>
    <w:rsid w:val="00EA285D"/>
    <w:rsid w:val="00EA4734"/>
    <w:rsid w:val="00EA5291"/>
    <w:rsid w:val="00EB070D"/>
    <w:rsid w:val="00EC1F75"/>
    <w:rsid w:val="00EC51CF"/>
    <w:rsid w:val="00EC68C4"/>
    <w:rsid w:val="00ED0EC3"/>
    <w:rsid w:val="00EE469B"/>
    <w:rsid w:val="00F02604"/>
    <w:rsid w:val="00F0769B"/>
    <w:rsid w:val="00F15200"/>
    <w:rsid w:val="00F17F92"/>
    <w:rsid w:val="00F2257F"/>
    <w:rsid w:val="00F372D1"/>
    <w:rsid w:val="00F5187C"/>
    <w:rsid w:val="00F748F8"/>
    <w:rsid w:val="00F86862"/>
    <w:rsid w:val="00FA0BB9"/>
    <w:rsid w:val="00FA2B08"/>
    <w:rsid w:val="00FE1B28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table" w:styleId="MittleresRaster2">
    <w:name w:val="Medium Grid 2"/>
    <w:basedOn w:val="NormaleTabelle"/>
    <w:uiPriority w:val="68"/>
    <w:rsid w:val="006D7163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Absatz-Standardschriftart"/>
    <w:uiPriority w:val="99"/>
    <w:semiHidden/>
    <w:unhideWhenUsed/>
    <w:rsid w:val="00C068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table" w:styleId="MittleresRaster2">
    <w:name w:val="Medium Grid 2"/>
    <w:basedOn w:val="NormaleTabelle"/>
    <w:uiPriority w:val="68"/>
    <w:rsid w:val="006D7163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Absatz-Standardschriftart"/>
    <w:uiPriority w:val="99"/>
    <w:semiHidden/>
    <w:unhideWhenUsed/>
    <w:rsid w:val="00C06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Freelance\Lehrpl&#228;ne\Aufgaben\Klimawandel%20-%20China%20vs%20Deutschland\Daten%20zu%20Kohlendioxid%20und%20Wirtschaf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Freelance\Lehrpl&#228;ne\Aufgaben\Klimawandel%20-%20China%20vs%20Deutschland\Daten%20zu%20Kohlendioxid%20und%20Wirtschaf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Freelance\Lehrpl&#228;ne\Aufgaben\Klimawandel%20-%20China%20vs%20Deutschland\Daten%20zu%20Kohlendioxid%20und%20Wirtschaf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Freelance\Lehrpl&#228;ne\Aufgaben\Klimawandel%20-%20China%20vs%20Deutschland\Daten%20zu%20Kohlendioxid%20und%20Wirtschaf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Freelance\Lehrpl&#228;ne\Aufgaben\Klimawandel%20-%20China%20vs%20Deutschland\Daten%20zu%20Kohlendioxid%20und%20Wirtschaf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Freelance\Lehrpl&#228;ne\Aufgaben\Klimawandel%20-%20China%20vs%20Deutschland\Daten%20zu%20Kohlendioxid%20und%20Wirtschaf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Freelance\Lehrpl&#228;ne\Aufgaben\Klimawandel%20-%20China%20vs%20Deutschland\Daten%20zu%20Kohlendioxid%20und%20Wirtschaf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tx>
        <c:rich>
          <a:bodyPr/>
          <a:lstStyle/>
          <a:p>
            <a:pPr>
              <a:defRPr/>
            </a:pPr>
            <a:r>
              <a:rPr lang="en-US"/>
              <a:t>CO</a:t>
            </a:r>
            <a:r>
              <a:rPr lang="en-US" baseline="-25000"/>
              <a:t>2</a:t>
            </a:r>
            <a:r>
              <a:rPr lang="en-US" baseline="0"/>
              <a:t>-Emissionen</a:t>
            </a:r>
            <a:r>
              <a:rPr lang="en-US"/>
              <a:t> in Mio. t (2013)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'CO2-Emittenten 2013'!$B$1</c:f>
              <c:strCache>
                <c:ptCount val="1"/>
                <c:pt idx="0">
                  <c:v>CO2 in Mio. t</c:v>
                </c:pt>
              </c:strCache>
            </c:strRef>
          </c:tx>
          <c:cat>
            <c:strRef>
              <c:f>'CO2-Emittenten 2013'!$A$2:$A$14</c:f>
              <c:strCache>
                <c:ptCount val="13"/>
                <c:pt idx="0">
                  <c:v>China</c:v>
                </c:pt>
                <c:pt idx="1">
                  <c:v>USA</c:v>
                </c:pt>
                <c:pt idx="2">
                  <c:v>Indien</c:v>
                </c:pt>
                <c:pt idx="3">
                  <c:v>Russland</c:v>
                </c:pt>
                <c:pt idx="4">
                  <c:v>Japan</c:v>
                </c:pt>
                <c:pt idx="5">
                  <c:v>Deutschland</c:v>
                </c:pt>
                <c:pt idx="6">
                  <c:v>Südkorea</c:v>
                </c:pt>
                <c:pt idx="7">
                  <c:v>Iran</c:v>
                </c:pt>
                <c:pt idx="8">
                  <c:v>Saudi-Arabien</c:v>
                </c:pt>
                <c:pt idx="9">
                  <c:v>Kanada</c:v>
                </c:pt>
                <c:pt idx="11">
                  <c:v>UK</c:v>
                </c:pt>
                <c:pt idx="12">
                  <c:v>VAE*</c:v>
                </c:pt>
              </c:strCache>
            </c:strRef>
          </c:cat>
          <c:val>
            <c:numRef>
              <c:f>'CO2-Emittenten 2013'!$B$2:$B$14</c:f>
              <c:numCache>
                <c:formatCode>General</c:formatCode>
                <c:ptCount val="13"/>
                <c:pt idx="0">
                  <c:v>9977</c:v>
                </c:pt>
                <c:pt idx="1">
                  <c:v>5233</c:v>
                </c:pt>
                <c:pt idx="2">
                  <c:v>2407</c:v>
                </c:pt>
                <c:pt idx="3">
                  <c:v>1812</c:v>
                </c:pt>
                <c:pt idx="4">
                  <c:v>1246</c:v>
                </c:pt>
                <c:pt idx="5">
                  <c:v>759</c:v>
                </c:pt>
                <c:pt idx="6">
                  <c:v>616</c:v>
                </c:pt>
                <c:pt idx="7">
                  <c:v>611</c:v>
                </c:pt>
                <c:pt idx="8">
                  <c:v>519</c:v>
                </c:pt>
                <c:pt idx="9">
                  <c:v>503</c:v>
                </c:pt>
                <c:pt idx="11">
                  <c:v>462</c:v>
                </c:pt>
                <c:pt idx="12">
                  <c:v>0.70000000000000062</c:v>
                </c:pt>
              </c:numCache>
            </c:numRef>
          </c:val>
        </c:ser>
        <c:axId val="125425920"/>
        <c:axId val="125517824"/>
      </c:barChart>
      <c:catAx>
        <c:axId val="125425920"/>
        <c:scaling>
          <c:orientation val="minMax"/>
        </c:scaling>
        <c:axPos val="b"/>
        <c:tickLblPos val="nextTo"/>
        <c:crossAx val="125517824"/>
        <c:crosses val="autoZero"/>
        <c:auto val="1"/>
        <c:lblAlgn val="ctr"/>
        <c:lblOffset val="100"/>
      </c:catAx>
      <c:valAx>
        <c:axId val="125517824"/>
        <c:scaling>
          <c:orientation val="minMax"/>
          <c:max val="10000"/>
        </c:scaling>
        <c:axPos val="l"/>
        <c:majorGridlines/>
        <c:numFmt formatCode="General" sourceLinked="1"/>
        <c:tickLblPos val="nextTo"/>
        <c:crossAx val="12542592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tx>
        <c:rich>
          <a:bodyPr/>
          <a:lstStyle/>
          <a:p>
            <a:pPr>
              <a:defRPr/>
            </a:pPr>
            <a:r>
              <a:rPr lang="de-DE"/>
              <a:t>CO</a:t>
            </a:r>
            <a:r>
              <a:rPr lang="de-DE" baseline="-25000"/>
              <a:t>2</a:t>
            </a:r>
            <a:r>
              <a:rPr lang="de-DE"/>
              <a:t>-Emissionen in t / Kopf (2013)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'CO2 pro Kopf 2013'!$B$1</c:f>
              <c:strCache>
                <c:ptCount val="1"/>
                <c:pt idx="0">
                  <c:v>CO2 in t / Kopf</c:v>
                </c:pt>
              </c:strCache>
            </c:strRef>
          </c:tx>
          <c:dPt>
            <c:idx val="13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cat>
            <c:strRef>
              <c:f>'CO2 pro Kopf 2013'!$A$2:$A$15</c:f>
              <c:strCache>
                <c:ptCount val="14"/>
                <c:pt idx="0">
                  <c:v>Katar</c:v>
                </c:pt>
                <c:pt idx="1">
                  <c:v>Trinidad and Tobago</c:v>
                </c:pt>
                <c:pt idx="2">
                  <c:v>Vereingte Arabische Emirate</c:v>
                </c:pt>
                <c:pt idx="3">
                  <c:v>Kuwait</c:v>
                </c:pt>
                <c:pt idx="4">
                  <c:v>Brunei</c:v>
                </c:pt>
                <c:pt idx="5">
                  <c:v>Aruba</c:v>
                </c:pt>
                <c:pt idx="6">
                  <c:v>Niederländische Antillen</c:v>
                </c:pt>
                <c:pt idx="7">
                  <c:v>Bahrain</c:v>
                </c:pt>
                <c:pt idx="8">
                  <c:v>Luxemburg</c:v>
                </c:pt>
                <c:pt idx="9">
                  <c:v>Montserrat</c:v>
                </c:pt>
                <c:pt idx="11">
                  <c:v>Deutschland</c:v>
                </c:pt>
                <c:pt idx="12">
                  <c:v>UK</c:v>
                </c:pt>
                <c:pt idx="13">
                  <c:v>China*</c:v>
                </c:pt>
              </c:strCache>
            </c:strRef>
          </c:cat>
          <c:val>
            <c:numRef>
              <c:f>'CO2 pro Kopf 2013'!$B$2:$B$15</c:f>
              <c:numCache>
                <c:formatCode>General</c:formatCode>
                <c:ptCount val="14"/>
                <c:pt idx="0">
                  <c:v>40.4</c:v>
                </c:pt>
                <c:pt idx="1">
                  <c:v>36.9</c:v>
                </c:pt>
                <c:pt idx="2">
                  <c:v>33.800000000000004</c:v>
                </c:pt>
                <c:pt idx="3">
                  <c:v>33.700000000000003</c:v>
                </c:pt>
                <c:pt idx="4">
                  <c:v>26.9</c:v>
                </c:pt>
                <c:pt idx="5">
                  <c:v>22.8</c:v>
                </c:pt>
                <c:pt idx="6">
                  <c:v>21.6</c:v>
                </c:pt>
                <c:pt idx="7">
                  <c:v>20.2</c:v>
                </c:pt>
                <c:pt idx="8" formatCode="0.0">
                  <c:v>20</c:v>
                </c:pt>
                <c:pt idx="9" formatCode="0.0">
                  <c:v>20</c:v>
                </c:pt>
                <c:pt idx="11">
                  <c:v>9.4</c:v>
                </c:pt>
                <c:pt idx="12">
                  <c:v>7.3</c:v>
                </c:pt>
                <c:pt idx="13">
                  <c:v>6.2</c:v>
                </c:pt>
              </c:numCache>
            </c:numRef>
          </c:val>
        </c:ser>
        <c:axId val="125554688"/>
        <c:axId val="125556224"/>
      </c:barChart>
      <c:catAx>
        <c:axId val="125554688"/>
        <c:scaling>
          <c:orientation val="minMax"/>
        </c:scaling>
        <c:axPos val="b"/>
        <c:tickLblPos val="nextTo"/>
        <c:crossAx val="125556224"/>
        <c:crosses val="autoZero"/>
        <c:auto val="1"/>
        <c:lblAlgn val="ctr"/>
        <c:lblOffset val="100"/>
      </c:catAx>
      <c:valAx>
        <c:axId val="125556224"/>
        <c:scaling>
          <c:orientation val="minMax"/>
        </c:scaling>
        <c:axPos val="l"/>
        <c:majorGridlines/>
        <c:numFmt formatCode="General" sourceLinked="1"/>
        <c:tickLblPos val="nextTo"/>
        <c:crossAx val="12555468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tx>
        <c:rich>
          <a:bodyPr/>
          <a:lstStyle/>
          <a:p>
            <a:pPr>
              <a:defRPr/>
            </a:pPr>
            <a:r>
              <a:rPr lang="en-US"/>
              <a:t>BIP in Mrd. US-$ (2013)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'BIP 2013'!$B$1</c:f>
              <c:strCache>
                <c:ptCount val="1"/>
                <c:pt idx="0">
                  <c:v>BIP in Mrd. US-$</c:v>
                </c:pt>
              </c:strCache>
            </c:strRef>
          </c:tx>
          <c:cat>
            <c:strRef>
              <c:f>'BIP 2013'!$A$2:$A$14</c:f>
              <c:strCache>
                <c:ptCount val="13"/>
                <c:pt idx="0">
                  <c:v>USA</c:v>
                </c:pt>
                <c:pt idx="1">
                  <c:v>China</c:v>
                </c:pt>
                <c:pt idx="2">
                  <c:v>Japan</c:v>
                </c:pt>
                <c:pt idx="3">
                  <c:v>Deutschland</c:v>
                </c:pt>
                <c:pt idx="4">
                  <c:v>Frankreich</c:v>
                </c:pt>
                <c:pt idx="5">
                  <c:v>UK</c:v>
                </c:pt>
                <c:pt idx="6">
                  <c:v>Brasilien</c:v>
                </c:pt>
                <c:pt idx="7">
                  <c:v>Russland</c:v>
                </c:pt>
                <c:pt idx="8">
                  <c:v>Italien</c:v>
                </c:pt>
                <c:pt idx="9">
                  <c:v>Indien</c:v>
                </c:pt>
                <c:pt idx="11">
                  <c:v>Norwegen</c:v>
                </c:pt>
                <c:pt idx="12">
                  <c:v>Luxemburg</c:v>
                </c:pt>
              </c:strCache>
            </c:strRef>
          </c:cat>
          <c:val>
            <c:numRef>
              <c:f>'BIP 2013'!$B$2:$B$14</c:f>
              <c:numCache>
                <c:formatCode>General</c:formatCode>
                <c:ptCount val="13"/>
                <c:pt idx="0">
                  <c:v>16799.7</c:v>
                </c:pt>
                <c:pt idx="1">
                  <c:v>9181.4</c:v>
                </c:pt>
                <c:pt idx="2">
                  <c:v>4901.5</c:v>
                </c:pt>
                <c:pt idx="3" formatCode="0.0">
                  <c:v>3636</c:v>
                </c:pt>
                <c:pt idx="4">
                  <c:v>2737.4</c:v>
                </c:pt>
                <c:pt idx="5">
                  <c:v>2535.8000000000002</c:v>
                </c:pt>
                <c:pt idx="6">
                  <c:v>2242.9</c:v>
                </c:pt>
                <c:pt idx="7" formatCode="0.0">
                  <c:v>2118</c:v>
                </c:pt>
                <c:pt idx="8" formatCode="0.0">
                  <c:v>2077</c:v>
                </c:pt>
                <c:pt idx="9">
                  <c:v>1870.7</c:v>
                </c:pt>
                <c:pt idx="11">
                  <c:v>511.3</c:v>
                </c:pt>
                <c:pt idx="12">
                  <c:v>59.8</c:v>
                </c:pt>
              </c:numCache>
            </c:numRef>
          </c:val>
        </c:ser>
        <c:axId val="125645568"/>
        <c:axId val="125647104"/>
      </c:barChart>
      <c:catAx>
        <c:axId val="125645568"/>
        <c:scaling>
          <c:orientation val="minMax"/>
        </c:scaling>
        <c:axPos val="b"/>
        <c:tickLblPos val="nextTo"/>
        <c:crossAx val="125647104"/>
        <c:crosses val="autoZero"/>
        <c:auto val="1"/>
        <c:lblAlgn val="ctr"/>
        <c:lblOffset val="100"/>
      </c:catAx>
      <c:valAx>
        <c:axId val="125647104"/>
        <c:scaling>
          <c:orientation val="minMax"/>
        </c:scaling>
        <c:axPos val="l"/>
        <c:majorGridlines/>
        <c:numFmt formatCode="General" sourceLinked="1"/>
        <c:tickLblPos val="nextTo"/>
        <c:crossAx val="12564556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tx>
        <c:rich>
          <a:bodyPr/>
          <a:lstStyle/>
          <a:p>
            <a:pPr>
              <a:defRPr/>
            </a:pPr>
            <a:r>
              <a:rPr lang="en-US"/>
              <a:t>BIP / Kopf in US-$ (2013)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'BIP pro Kopf 2013'!$B$1</c:f>
              <c:strCache>
                <c:ptCount val="1"/>
                <c:pt idx="0">
                  <c:v>BIP / Kopf in US-$</c:v>
                </c:pt>
              </c:strCache>
            </c:strRef>
          </c:tx>
          <c:cat>
            <c:strRef>
              <c:f>'BIP pro Kopf 2013'!$A$2:$A$15</c:f>
              <c:strCache>
                <c:ptCount val="14"/>
                <c:pt idx="0">
                  <c:v>Luxemburg</c:v>
                </c:pt>
                <c:pt idx="1">
                  <c:v>Norwegen</c:v>
                </c:pt>
                <c:pt idx="2">
                  <c:v>Katar</c:v>
                </c:pt>
                <c:pt idx="3">
                  <c:v>Schweiz</c:v>
                </c:pt>
                <c:pt idx="4">
                  <c:v>Australien</c:v>
                </c:pt>
                <c:pt idx="5">
                  <c:v>Dänemark</c:v>
                </c:pt>
                <c:pt idx="6">
                  <c:v>Schweden</c:v>
                </c:pt>
                <c:pt idx="7">
                  <c:v>Singapur</c:v>
                </c:pt>
                <c:pt idx="8">
                  <c:v>USA</c:v>
                </c:pt>
                <c:pt idx="9">
                  <c:v>Kanada</c:v>
                </c:pt>
                <c:pt idx="11">
                  <c:v>Deutschland</c:v>
                </c:pt>
                <c:pt idx="12">
                  <c:v>UK</c:v>
                </c:pt>
                <c:pt idx="13">
                  <c:v>China</c:v>
                </c:pt>
              </c:strCache>
            </c:strRef>
          </c:cat>
          <c:val>
            <c:numRef>
              <c:f>'BIP pro Kopf 2013'!$B$2:$B$15</c:f>
              <c:numCache>
                <c:formatCode>General</c:formatCode>
                <c:ptCount val="14"/>
                <c:pt idx="0">
                  <c:v>110424</c:v>
                </c:pt>
                <c:pt idx="1">
                  <c:v>100318</c:v>
                </c:pt>
                <c:pt idx="2">
                  <c:v>100260</c:v>
                </c:pt>
                <c:pt idx="3">
                  <c:v>81324</c:v>
                </c:pt>
                <c:pt idx="4">
                  <c:v>64863</c:v>
                </c:pt>
                <c:pt idx="5">
                  <c:v>59191</c:v>
                </c:pt>
                <c:pt idx="6">
                  <c:v>57909</c:v>
                </c:pt>
                <c:pt idx="7">
                  <c:v>54776</c:v>
                </c:pt>
                <c:pt idx="8">
                  <c:v>53101</c:v>
                </c:pt>
                <c:pt idx="9">
                  <c:v>51990</c:v>
                </c:pt>
                <c:pt idx="11">
                  <c:v>44999</c:v>
                </c:pt>
                <c:pt idx="12">
                  <c:v>39567</c:v>
                </c:pt>
                <c:pt idx="13">
                  <c:v>6747</c:v>
                </c:pt>
              </c:numCache>
            </c:numRef>
          </c:val>
        </c:ser>
        <c:axId val="125679104"/>
        <c:axId val="125680640"/>
      </c:barChart>
      <c:catAx>
        <c:axId val="125679104"/>
        <c:scaling>
          <c:orientation val="minMax"/>
        </c:scaling>
        <c:axPos val="b"/>
        <c:tickLblPos val="nextTo"/>
        <c:crossAx val="125680640"/>
        <c:crosses val="autoZero"/>
        <c:auto val="1"/>
        <c:lblAlgn val="ctr"/>
        <c:lblOffset val="100"/>
      </c:catAx>
      <c:valAx>
        <c:axId val="125680640"/>
        <c:scaling>
          <c:orientation val="minMax"/>
        </c:scaling>
        <c:axPos val="l"/>
        <c:majorGridlines/>
        <c:numFmt formatCode="General" sourceLinked="1"/>
        <c:tickLblPos val="nextTo"/>
        <c:crossAx val="12567910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chart>
    <c:title>
      <c:tx>
        <c:rich>
          <a:bodyPr/>
          <a:lstStyle/>
          <a:p>
            <a:pPr algn="ctr">
              <a:defRPr/>
            </a:pPr>
            <a:r>
              <a:rPr lang="de-DE"/>
              <a:t>Entwicklung</a:t>
            </a:r>
            <a:r>
              <a:rPr lang="de-DE" baseline="0"/>
              <a:t> der </a:t>
            </a:r>
            <a:r>
              <a:rPr lang="de-DE"/>
              <a:t>Bevölkerung in Mio. </a:t>
            </a:r>
          </a:p>
        </c:rich>
      </c:tx>
      <c:layout>
        <c:manualLayout>
          <c:xMode val="edge"/>
          <c:yMode val="edge"/>
          <c:x val="0.13265897215713104"/>
          <c:y val="2.777777777777790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Bevölkerung!$B$2</c:f>
              <c:strCache>
                <c:ptCount val="1"/>
                <c:pt idx="0">
                  <c:v>China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cat>
            <c:numRef>
              <c:f>Bevölkerung!$A$3:$A$7</c:f>
              <c:numCache>
                <c:formatCode>General</c:formatCode>
                <c:ptCount val="5"/>
                <c:pt idx="0">
                  <c:v>1970</c:v>
                </c:pt>
                <c:pt idx="1">
                  <c:v>1980</c:v>
                </c:pt>
                <c:pt idx="2">
                  <c:v>1990</c:v>
                </c:pt>
                <c:pt idx="3">
                  <c:v>2000</c:v>
                </c:pt>
                <c:pt idx="4">
                  <c:v>2010</c:v>
                </c:pt>
              </c:numCache>
            </c:numRef>
          </c:cat>
          <c:val>
            <c:numRef>
              <c:f>Bevölkerung!$B$3:$B$7</c:f>
              <c:numCache>
                <c:formatCode>General</c:formatCode>
                <c:ptCount val="5"/>
                <c:pt idx="0">
                  <c:v>820</c:v>
                </c:pt>
                <c:pt idx="1">
                  <c:v>985</c:v>
                </c:pt>
                <c:pt idx="2">
                  <c:v>1148</c:v>
                </c:pt>
                <c:pt idx="3">
                  <c:v>1216</c:v>
                </c:pt>
                <c:pt idx="4">
                  <c:v>1340</c:v>
                </c:pt>
              </c:numCache>
            </c:numRef>
          </c:val>
        </c:ser>
        <c:ser>
          <c:idx val="1"/>
          <c:order val="1"/>
          <c:tx>
            <c:strRef>
              <c:f>Bevölkerung!$C$2</c:f>
              <c:strCache>
                <c:ptCount val="1"/>
                <c:pt idx="0">
                  <c:v>Deutschland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numRef>
              <c:f>Bevölkerung!$A$3:$A$7</c:f>
              <c:numCache>
                <c:formatCode>General</c:formatCode>
                <c:ptCount val="5"/>
                <c:pt idx="0">
                  <c:v>1970</c:v>
                </c:pt>
                <c:pt idx="1">
                  <c:v>1980</c:v>
                </c:pt>
                <c:pt idx="2">
                  <c:v>1990</c:v>
                </c:pt>
                <c:pt idx="3">
                  <c:v>2000</c:v>
                </c:pt>
                <c:pt idx="4">
                  <c:v>2010</c:v>
                </c:pt>
              </c:numCache>
            </c:numRef>
          </c:cat>
          <c:val>
            <c:numRef>
              <c:f>Bevölkerung!$C$3:$C$7</c:f>
              <c:numCache>
                <c:formatCode>General</c:formatCode>
                <c:ptCount val="5"/>
                <c:pt idx="0">
                  <c:v>77.7</c:v>
                </c:pt>
                <c:pt idx="1">
                  <c:v>78.3</c:v>
                </c:pt>
                <c:pt idx="2">
                  <c:v>79.099999999999994</c:v>
                </c:pt>
                <c:pt idx="3">
                  <c:v>82.2</c:v>
                </c:pt>
                <c:pt idx="4">
                  <c:v>81.8</c:v>
                </c:pt>
              </c:numCache>
            </c:numRef>
          </c:val>
        </c:ser>
        <c:axId val="125697024"/>
        <c:axId val="126427904"/>
      </c:barChart>
      <c:catAx>
        <c:axId val="125697024"/>
        <c:scaling>
          <c:orientation val="minMax"/>
        </c:scaling>
        <c:axPos val="b"/>
        <c:numFmt formatCode="General" sourceLinked="1"/>
        <c:tickLblPos val="nextTo"/>
        <c:crossAx val="126427904"/>
        <c:crosses val="autoZero"/>
        <c:auto val="1"/>
        <c:lblAlgn val="ctr"/>
        <c:lblOffset val="100"/>
      </c:catAx>
      <c:valAx>
        <c:axId val="126427904"/>
        <c:scaling>
          <c:orientation val="minMax"/>
          <c:max val="1400"/>
        </c:scaling>
        <c:axPos val="l"/>
        <c:majorGridlines/>
        <c:numFmt formatCode="General" sourceLinked="1"/>
        <c:tickLblPos val="nextTo"/>
        <c:crossAx val="12569702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chart>
    <c:title>
      <c:tx>
        <c:rich>
          <a:bodyPr/>
          <a:lstStyle/>
          <a:p>
            <a:pPr>
              <a:defRPr/>
            </a:pPr>
            <a:r>
              <a:rPr lang="de-DE"/>
              <a:t>Entwicklung</a:t>
            </a:r>
            <a:r>
              <a:rPr lang="de-DE" baseline="0"/>
              <a:t> des </a:t>
            </a:r>
            <a:r>
              <a:rPr lang="de-DE"/>
              <a:t>BIP in Mrd. US-$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BIP!$B$2</c:f>
              <c:strCache>
                <c:ptCount val="1"/>
                <c:pt idx="0">
                  <c:v>China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cat>
            <c:numRef>
              <c:f>BIP!$A$3:$A$7</c:f>
              <c:numCache>
                <c:formatCode>General</c:formatCode>
                <c:ptCount val="5"/>
                <c:pt idx="0">
                  <c:v>1970</c:v>
                </c:pt>
                <c:pt idx="1">
                  <c:v>1980</c:v>
                </c:pt>
                <c:pt idx="2">
                  <c:v>1990</c:v>
                </c:pt>
                <c:pt idx="3">
                  <c:v>2000</c:v>
                </c:pt>
                <c:pt idx="4">
                  <c:v>2010</c:v>
                </c:pt>
              </c:numCache>
            </c:numRef>
          </c:cat>
          <c:val>
            <c:numRef>
              <c:f>BIP!$B$3:$B$7</c:f>
              <c:numCache>
                <c:formatCode>General</c:formatCode>
                <c:ptCount val="5"/>
                <c:pt idx="0">
                  <c:v>92</c:v>
                </c:pt>
                <c:pt idx="1">
                  <c:v>309</c:v>
                </c:pt>
                <c:pt idx="2">
                  <c:v>390</c:v>
                </c:pt>
                <c:pt idx="3">
                  <c:v>1199</c:v>
                </c:pt>
                <c:pt idx="4">
                  <c:v>5950</c:v>
                </c:pt>
              </c:numCache>
            </c:numRef>
          </c:val>
        </c:ser>
        <c:ser>
          <c:idx val="1"/>
          <c:order val="1"/>
          <c:tx>
            <c:strRef>
              <c:f>BIP!$C$2</c:f>
              <c:strCache>
                <c:ptCount val="1"/>
                <c:pt idx="0">
                  <c:v>Deutschland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numRef>
              <c:f>BIP!$A$3:$A$7</c:f>
              <c:numCache>
                <c:formatCode>General</c:formatCode>
                <c:ptCount val="5"/>
                <c:pt idx="0">
                  <c:v>1970</c:v>
                </c:pt>
                <c:pt idx="1">
                  <c:v>1980</c:v>
                </c:pt>
                <c:pt idx="2">
                  <c:v>1990</c:v>
                </c:pt>
                <c:pt idx="3">
                  <c:v>2000</c:v>
                </c:pt>
                <c:pt idx="4">
                  <c:v>2010</c:v>
                </c:pt>
              </c:numCache>
            </c:numRef>
          </c:cat>
          <c:val>
            <c:numRef>
              <c:f>BIP!$C$3:$C$7</c:f>
              <c:numCache>
                <c:formatCode>General</c:formatCode>
                <c:ptCount val="5"/>
                <c:pt idx="0">
                  <c:v>215</c:v>
                </c:pt>
                <c:pt idx="1">
                  <c:v>826</c:v>
                </c:pt>
                <c:pt idx="2">
                  <c:v>1547</c:v>
                </c:pt>
                <c:pt idx="3">
                  <c:v>1906</c:v>
                </c:pt>
                <c:pt idx="4">
                  <c:v>3412</c:v>
                </c:pt>
              </c:numCache>
            </c:numRef>
          </c:val>
        </c:ser>
        <c:axId val="126452864"/>
        <c:axId val="126454400"/>
      </c:barChart>
      <c:catAx>
        <c:axId val="126452864"/>
        <c:scaling>
          <c:orientation val="minMax"/>
        </c:scaling>
        <c:axPos val="b"/>
        <c:numFmt formatCode="General" sourceLinked="1"/>
        <c:tickLblPos val="nextTo"/>
        <c:crossAx val="126454400"/>
        <c:crosses val="autoZero"/>
        <c:auto val="1"/>
        <c:lblAlgn val="ctr"/>
        <c:lblOffset val="100"/>
      </c:catAx>
      <c:valAx>
        <c:axId val="126454400"/>
        <c:scaling>
          <c:orientation val="minMax"/>
          <c:max val="6000"/>
        </c:scaling>
        <c:axPos val="l"/>
        <c:majorGridlines/>
        <c:numFmt formatCode="General" sourceLinked="1"/>
        <c:tickLblPos val="nextTo"/>
        <c:crossAx val="12645286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chart>
    <c:title>
      <c:tx>
        <c:rich>
          <a:bodyPr/>
          <a:lstStyle/>
          <a:p>
            <a:pPr>
              <a:defRPr/>
            </a:pPr>
            <a:r>
              <a:rPr lang="de-DE"/>
              <a:t>Entwicklung der CO</a:t>
            </a:r>
            <a:r>
              <a:rPr lang="de-DE" baseline="-25000"/>
              <a:t>2</a:t>
            </a:r>
            <a:r>
              <a:rPr lang="de-DE"/>
              <a:t>-Emission in Mio. t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Emissionen!$B$2</c:f>
              <c:strCache>
                <c:ptCount val="1"/>
                <c:pt idx="0">
                  <c:v>China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cat>
            <c:numRef>
              <c:f>Emissionen!$A$3:$A$7</c:f>
              <c:numCache>
                <c:formatCode>General</c:formatCode>
                <c:ptCount val="5"/>
                <c:pt idx="0">
                  <c:v>1970</c:v>
                </c:pt>
                <c:pt idx="1">
                  <c:v>1980</c:v>
                </c:pt>
                <c:pt idx="2">
                  <c:v>1990</c:v>
                </c:pt>
                <c:pt idx="3">
                  <c:v>2000</c:v>
                </c:pt>
                <c:pt idx="4">
                  <c:v>2010</c:v>
                </c:pt>
              </c:numCache>
            </c:numRef>
          </c:cat>
          <c:val>
            <c:numRef>
              <c:f>Emissionen!$B$3:$B$7</c:f>
              <c:numCache>
                <c:formatCode>General</c:formatCode>
                <c:ptCount val="5"/>
                <c:pt idx="0">
                  <c:v>738</c:v>
                </c:pt>
                <c:pt idx="1">
                  <c:v>1500</c:v>
                </c:pt>
                <c:pt idx="2">
                  <c:v>2387</c:v>
                </c:pt>
                <c:pt idx="3">
                  <c:v>3551</c:v>
                </c:pt>
                <c:pt idx="4">
                  <c:v>8210</c:v>
                </c:pt>
              </c:numCache>
            </c:numRef>
          </c:val>
        </c:ser>
        <c:ser>
          <c:idx val="1"/>
          <c:order val="1"/>
          <c:tx>
            <c:strRef>
              <c:f>Emissionen!$C$2</c:f>
              <c:strCache>
                <c:ptCount val="1"/>
                <c:pt idx="0">
                  <c:v>Deutschland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numRef>
              <c:f>Emissionen!$A$3:$A$7</c:f>
              <c:numCache>
                <c:formatCode>General</c:formatCode>
                <c:ptCount val="5"/>
                <c:pt idx="0">
                  <c:v>1970</c:v>
                </c:pt>
                <c:pt idx="1">
                  <c:v>1980</c:v>
                </c:pt>
                <c:pt idx="2">
                  <c:v>1990</c:v>
                </c:pt>
                <c:pt idx="3">
                  <c:v>2000</c:v>
                </c:pt>
                <c:pt idx="4">
                  <c:v>2010</c:v>
                </c:pt>
              </c:numCache>
            </c:numRef>
          </c:cat>
          <c:val>
            <c:numRef>
              <c:f>Emissionen!$C$3:$C$7</c:f>
              <c:numCache>
                <c:formatCode>General</c:formatCode>
                <c:ptCount val="5"/>
                <c:pt idx="0">
                  <c:v>1058</c:v>
                </c:pt>
                <c:pt idx="1">
                  <c:v>1126</c:v>
                </c:pt>
                <c:pt idx="2">
                  <c:v>1031</c:v>
                </c:pt>
                <c:pt idx="3">
                  <c:v>903</c:v>
                </c:pt>
                <c:pt idx="4">
                  <c:v>803</c:v>
                </c:pt>
              </c:numCache>
            </c:numRef>
          </c:val>
        </c:ser>
        <c:axId val="126479360"/>
        <c:axId val="126575360"/>
      </c:barChart>
      <c:catAx>
        <c:axId val="126479360"/>
        <c:scaling>
          <c:orientation val="minMax"/>
        </c:scaling>
        <c:axPos val="b"/>
        <c:numFmt formatCode="General" sourceLinked="1"/>
        <c:tickLblPos val="nextTo"/>
        <c:crossAx val="126575360"/>
        <c:crosses val="autoZero"/>
        <c:auto val="1"/>
        <c:lblAlgn val="ctr"/>
        <c:lblOffset val="100"/>
      </c:catAx>
      <c:valAx>
        <c:axId val="126575360"/>
        <c:scaling>
          <c:orientation val="minMax"/>
        </c:scaling>
        <c:axPos val="l"/>
        <c:majorGridlines/>
        <c:numFmt formatCode="General" sourceLinked="1"/>
        <c:tickLblPos val="nextTo"/>
        <c:crossAx val="12647936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E4F35-53B2-488E-B354-39A1E63A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1101</Words>
  <Characters>6940</Characters>
  <Application>Microsoft Office Word</Application>
  <DocSecurity>4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Witt-S</dc:creator>
  <cp:lastModifiedBy>Haertel</cp:lastModifiedBy>
  <cp:revision>2</cp:revision>
  <cp:lastPrinted>2015-10-15T09:08:00Z</cp:lastPrinted>
  <dcterms:created xsi:type="dcterms:W3CDTF">2016-02-18T13:20:00Z</dcterms:created>
  <dcterms:modified xsi:type="dcterms:W3CDTF">2016-02-18T13:20:00Z</dcterms:modified>
</cp:coreProperties>
</file>