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3B5A06">
      <w:pPr>
        <w:suppressAutoHyphens/>
        <w:spacing w:after="120"/>
      </w:pPr>
      <w:r w:rsidRPr="008119C5">
        <w:t>Standardillustrierende Aufgaben veranschaulichen beispielhaft Standards für Lehrkräfte, Lernende und Eltern.</w:t>
      </w:r>
      <w:r w:rsidR="007C1D1C">
        <w:t xml:space="preserve"> </w:t>
      </w:r>
      <w:r w:rsidR="003A1FC0">
        <w:t xml:space="preserve"> </w:t>
      </w:r>
      <w:bookmarkStart w:id="0" w:name="_GoBack"/>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B5A06">
            <w:pPr>
              <w:suppressAutoHyphens/>
              <w:spacing w:before="120" w:after="120" w:line="240" w:lineRule="auto"/>
              <w:rPr>
                <w:b/>
              </w:rPr>
            </w:pPr>
            <w:r w:rsidRPr="008119C5">
              <w:rPr>
                <w:b/>
              </w:rPr>
              <w:t>Fach</w:t>
            </w:r>
          </w:p>
        </w:tc>
        <w:tc>
          <w:tcPr>
            <w:tcW w:w="6433" w:type="dxa"/>
            <w:gridSpan w:val="3"/>
          </w:tcPr>
          <w:p w:rsidR="00B94BD8" w:rsidRPr="00202F49" w:rsidRDefault="000E10E7" w:rsidP="003B5A06">
            <w:pPr>
              <w:suppressAutoHyphens/>
              <w:spacing w:before="120" w:after="120" w:line="240" w:lineRule="auto"/>
            </w:pPr>
            <w:r>
              <w:t>Geschichte</w:t>
            </w:r>
          </w:p>
        </w:tc>
      </w:tr>
      <w:tr w:rsidR="00420481" w:rsidRPr="008119C5" w:rsidTr="00C16860">
        <w:tc>
          <w:tcPr>
            <w:tcW w:w="2802" w:type="dxa"/>
          </w:tcPr>
          <w:p w:rsidR="00420481" w:rsidRPr="009B046A" w:rsidRDefault="00420481" w:rsidP="003B5A06">
            <w:pPr>
              <w:suppressAutoHyphens/>
              <w:spacing w:before="120" w:after="120" w:line="240" w:lineRule="auto"/>
              <w:rPr>
                <w:b/>
              </w:rPr>
            </w:pPr>
            <w:r w:rsidRPr="009B046A">
              <w:rPr>
                <w:b/>
              </w:rPr>
              <w:t>Name der Aufgabe</w:t>
            </w:r>
            <w:r w:rsidR="009B046A">
              <w:rPr>
                <w:b/>
              </w:rPr>
              <w:t xml:space="preserve"> </w:t>
            </w:r>
          </w:p>
        </w:tc>
        <w:tc>
          <w:tcPr>
            <w:tcW w:w="6433" w:type="dxa"/>
            <w:gridSpan w:val="3"/>
          </w:tcPr>
          <w:p w:rsidR="00420481" w:rsidRPr="003B5A06" w:rsidRDefault="003B5A06" w:rsidP="003B5A06">
            <w:pPr>
              <w:suppressAutoHyphens/>
              <w:spacing w:before="120" w:after="120" w:line="240" w:lineRule="auto"/>
              <w:rPr>
                <w:color w:val="FF0000"/>
              </w:rPr>
            </w:pPr>
            <w:proofErr w:type="spellStart"/>
            <w:r w:rsidRPr="003B5A06">
              <w:t>Geschichte_Methoden</w:t>
            </w:r>
            <w:proofErr w:type="spellEnd"/>
            <w:r w:rsidRPr="003B5A06">
              <w:t xml:space="preserve"> </w:t>
            </w:r>
            <w:proofErr w:type="spellStart"/>
            <w:r w:rsidRPr="003B5A06">
              <w:t>anwenden_FG_</w:t>
            </w:r>
            <w:r w:rsidR="00D277B4" w:rsidRPr="003B5A06">
              <w:t>Friedliche</w:t>
            </w:r>
            <w:proofErr w:type="spellEnd"/>
            <w:r w:rsidR="00D277B4" w:rsidRPr="003B5A06">
              <w:t xml:space="preserve"> </w:t>
            </w:r>
            <w:r w:rsidR="00C71E63" w:rsidRPr="003B5A06">
              <w:t xml:space="preserve">Revolution </w:t>
            </w:r>
            <w:r w:rsidR="00D277B4" w:rsidRPr="003B5A06">
              <w:t>1989</w:t>
            </w:r>
          </w:p>
        </w:tc>
      </w:tr>
      <w:tr w:rsidR="00B94BD8" w:rsidRPr="008119C5" w:rsidTr="00C16860">
        <w:tc>
          <w:tcPr>
            <w:tcW w:w="2802" w:type="dxa"/>
          </w:tcPr>
          <w:p w:rsidR="00B94BD8" w:rsidRPr="008119C5" w:rsidRDefault="00B94BD8" w:rsidP="003B5A06">
            <w:pPr>
              <w:suppressAutoHyphens/>
              <w:spacing w:before="120" w:after="120" w:line="240" w:lineRule="auto"/>
              <w:rPr>
                <w:b/>
              </w:rPr>
            </w:pPr>
            <w:r w:rsidRPr="008119C5">
              <w:rPr>
                <w:b/>
              </w:rPr>
              <w:t>Kompetenzbereich</w:t>
            </w:r>
          </w:p>
        </w:tc>
        <w:tc>
          <w:tcPr>
            <w:tcW w:w="6433" w:type="dxa"/>
            <w:gridSpan w:val="3"/>
          </w:tcPr>
          <w:p w:rsidR="00B94BD8" w:rsidRPr="008A1768" w:rsidRDefault="00D277B4" w:rsidP="003B5A06">
            <w:pPr>
              <w:suppressAutoHyphens/>
              <w:spacing w:before="120" w:after="120" w:line="240" w:lineRule="auto"/>
            </w:pPr>
            <w:r>
              <w:t>Methoden anwenden</w:t>
            </w:r>
            <w:r w:rsidR="003C72C6">
              <w:t xml:space="preserve"> (Ge-K</w:t>
            </w:r>
            <w:r>
              <w:t>3</w:t>
            </w:r>
            <w:r w:rsidR="000E10E7">
              <w:t>)</w:t>
            </w:r>
          </w:p>
        </w:tc>
      </w:tr>
      <w:tr w:rsidR="00B94BD8" w:rsidRPr="008119C5" w:rsidTr="00C16860">
        <w:tc>
          <w:tcPr>
            <w:tcW w:w="2802" w:type="dxa"/>
          </w:tcPr>
          <w:p w:rsidR="00B94BD8" w:rsidRPr="008119C5" w:rsidRDefault="00B94BD8" w:rsidP="003B5A06">
            <w:pPr>
              <w:tabs>
                <w:tab w:val="left" w:pos="1373"/>
              </w:tabs>
              <w:suppressAutoHyphens/>
              <w:spacing w:before="120" w:after="120" w:line="240" w:lineRule="auto"/>
              <w:rPr>
                <w:b/>
              </w:rPr>
            </w:pPr>
            <w:r w:rsidRPr="008119C5">
              <w:rPr>
                <w:b/>
              </w:rPr>
              <w:t>Kompetenz</w:t>
            </w:r>
          </w:p>
        </w:tc>
        <w:tc>
          <w:tcPr>
            <w:tcW w:w="6433" w:type="dxa"/>
            <w:gridSpan w:val="3"/>
          </w:tcPr>
          <w:p w:rsidR="00B94BD8" w:rsidRPr="008A1768" w:rsidRDefault="00D277B4" w:rsidP="003B5A06">
            <w:pPr>
              <w:tabs>
                <w:tab w:val="left" w:pos="1373"/>
              </w:tabs>
              <w:suppressAutoHyphens/>
              <w:spacing w:before="120" w:after="120" w:line="240" w:lineRule="auto"/>
            </w:pPr>
            <w:r>
              <w:t>Fachsprache anwenden</w:t>
            </w:r>
            <w:r w:rsidR="00C71E63">
              <w:t xml:space="preserve"> </w:t>
            </w:r>
            <w:r w:rsidR="000E10E7">
              <w:t>(Ge-K</w:t>
            </w:r>
            <w:r>
              <w:t>3.4</w:t>
            </w:r>
            <w:r w:rsidR="000E10E7" w:rsidRPr="00B85AFB">
              <w:t>)</w:t>
            </w:r>
          </w:p>
        </w:tc>
      </w:tr>
      <w:tr w:rsidR="00B94BD8" w:rsidRPr="008119C5" w:rsidTr="00C16860">
        <w:tc>
          <w:tcPr>
            <w:tcW w:w="2802" w:type="dxa"/>
          </w:tcPr>
          <w:p w:rsidR="00B94BD8" w:rsidRPr="008119C5" w:rsidRDefault="008E2ED1" w:rsidP="003B5A06">
            <w:pPr>
              <w:tabs>
                <w:tab w:val="left" w:pos="1190"/>
              </w:tabs>
              <w:suppressAutoHyphen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3C72C6" w:rsidP="003B5A06">
            <w:pPr>
              <w:tabs>
                <w:tab w:val="left" w:pos="1190"/>
              </w:tabs>
              <w:suppressAutoHyphens/>
              <w:spacing w:before="120" w:after="120" w:line="240" w:lineRule="auto"/>
            </w:pPr>
            <w:r>
              <w:t>F</w:t>
            </w:r>
            <w:r w:rsidR="00536FA5">
              <w:t>/G</w:t>
            </w:r>
          </w:p>
        </w:tc>
      </w:tr>
      <w:tr w:rsidR="008E2ED1" w:rsidRPr="008119C5" w:rsidTr="00C16860">
        <w:tc>
          <w:tcPr>
            <w:tcW w:w="2802" w:type="dxa"/>
          </w:tcPr>
          <w:p w:rsidR="008E2ED1" w:rsidRDefault="008E2ED1" w:rsidP="003B5A06">
            <w:pPr>
              <w:tabs>
                <w:tab w:val="left" w:pos="1190"/>
              </w:tabs>
              <w:suppressAutoHyphens/>
              <w:spacing w:before="120" w:after="120" w:line="240" w:lineRule="auto"/>
              <w:rPr>
                <w:b/>
              </w:rPr>
            </w:pPr>
            <w:r w:rsidRPr="008119C5">
              <w:rPr>
                <w:b/>
              </w:rPr>
              <w:t>Standard</w:t>
            </w:r>
          </w:p>
        </w:tc>
        <w:tc>
          <w:tcPr>
            <w:tcW w:w="6433" w:type="dxa"/>
            <w:gridSpan w:val="3"/>
          </w:tcPr>
          <w:p w:rsidR="008E2ED1" w:rsidRPr="00536FA5" w:rsidRDefault="00536FA5" w:rsidP="003B5A06">
            <w:pPr>
              <w:pStyle w:val="KeinLeerraum"/>
              <w:suppressAutoHyphens/>
              <w:spacing w:before="120" w:after="120"/>
              <w:rPr>
                <w:rFonts w:ascii="Arial" w:hAnsi="Arial" w:cs="Arial"/>
              </w:rPr>
            </w:pPr>
            <w:r w:rsidRPr="00536FA5">
              <w:rPr>
                <w:rFonts w:ascii="Arial" w:hAnsi="Arial" w:cs="Arial"/>
              </w:rPr>
              <w:t xml:space="preserve">F: Die </w:t>
            </w:r>
            <w:r w:rsidR="00C71E63" w:rsidRPr="00536FA5">
              <w:rPr>
                <w:rFonts w:ascii="Arial" w:hAnsi="Arial" w:cs="Arial"/>
              </w:rPr>
              <w:t xml:space="preserve">SuS können </w:t>
            </w:r>
            <w:r w:rsidR="00D277B4" w:rsidRPr="00536FA5">
              <w:rPr>
                <w:rFonts w:ascii="Arial" w:hAnsi="Arial" w:cs="Arial"/>
              </w:rPr>
              <w:t>die Bedeutung von Fachbegriffen erklären</w:t>
            </w:r>
            <w:r w:rsidR="00C71E63" w:rsidRPr="00536FA5">
              <w:rPr>
                <w:rFonts w:ascii="Arial" w:hAnsi="Arial" w:cs="Arial"/>
              </w:rPr>
              <w:t>.</w:t>
            </w:r>
          </w:p>
          <w:p w:rsidR="00536FA5" w:rsidRPr="00536FA5" w:rsidRDefault="00536FA5" w:rsidP="003B5A06">
            <w:pPr>
              <w:pStyle w:val="KeinLeerraum"/>
              <w:suppressAutoHyphens/>
              <w:spacing w:before="120" w:after="120"/>
              <w:rPr>
                <w:rFonts w:ascii="Arial" w:hAnsi="Arial" w:cs="Arial"/>
              </w:rPr>
            </w:pPr>
            <w:r w:rsidRPr="00536FA5">
              <w:rPr>
                <w:rFonts w:ascii="Arial" w:hAnsi="Arial" w:cs="Arial"/>
              </w:rPr>
              <w:t>G: Die SuS können die Bedeutung von Begriffen in der Alltags- und Fachsprache, in Vergangenheit und Gegenwart untersuchen und reflektieren.</w:t>
            </w:r>
          </w:p>
        </w:tc>
      </w:tr>
      <w:tr w:rsidR="00B94BD8" w:rsidRPr="008119C5" w:rsidTr="00C16860">
        <w:tc>
          <w:tcPr>
            <w:tcW w:w="2802" w:type="dxa"/>
            <w:tcBorders>
              <w:bottom w:val="single" w:sz="4" w:space="0" w:color="808080" w:themeColor="background1" w:themeShade="80"/>
            </w:tcBorders>
          </w:tcPr>
          <w:p w:rsidR="00B94BD8" w:rsidRPr="008119C5" w:rsidRDefault="00B94BD8" w:rsidP="003B5A06">
            <w:pPr>
              <w:tabs>
                <w:tab w:val="left" w:pos="1190"/>
              </w:tabs>
              <w:suppressAutoHyphen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536FA5" w:rsidRPr="00536FA5" w:rsidRDefault="00F729A8" w:rsidP="003B5A06">
            <w:pPr>
              <w:pStyle w:val="KeinLeerraum"/>
              <w:suppressAutoHyphens/>
              <w:spacing w:before="120" w:after="120"/>
              <w:rPr>
                <w:rFonts w:ascii="Arial" w:hAnsi="Arial" w:cs="Arial"/>
              </w:rPr>
            </w:pPr>
            <w:r w:rsidRPr="00536FA5">
              <w:rPr>
                <w:rFonts w:ascii="Arial" w:hAnsi="Arial" w:cs="Arial"/>
              </w:rPr>
              <w:t>3.</w:t>
            </w:r>
            <w:r w:rsidR="00D277B4" w:rsidRPr="00536FA5">
              <w:rPr>
                <w:rFonts w:ascii="Arial" w:hAnsi="Arial" w:cs="Arial"/>
              </w:rPr>
              <w:t>4</w:t>
            </w:r>
            <w:r w:rsidR="001A6150" w:rsidRPr="00536FA5">
              <w:rPr>
                <w:rFonts w:ascii="Arial" w:hAnsi="Arial" w:cs="Arial"/>
              </w:rPr>
              <w:t xml:space="preserve"> Basismodul </w:t>
            </w:r>
            <w:r w:rsidR="00D277B4" w:rsidRPr="00536FA5">
              <w:rPr>
                <w:rFonts w:ascii="Arial" w:hAnsi="Arial" w:cs="Arial"/>
              </w:rPr>
              <w:t>9</w:t>
            </w:r>
            <w:r w:rsidR="001A6150" w:rsidRPr="00536FA5">
              <w:rPr>
                <w:rFonts w:ascii="Arial" w:hAnsi="Arial" w:cs="Arial"/>
              </w:rPr>
              <w:t>/</w:t>
            </w:r>
            <w:r w:rsidR="00D277B4" w:rsidRPr="00536FA5">
              <w:rPr>
                <w:rFonts w:ascii="Arial" w:hAnsi="Arial" w:cs="Arial"/>
              </w:rPr>
              <w:t>10</w:t>
            </w:r>
          </w:p>
          <w:p w:rsidR="00244EC0" w:rsidRPr="00536FA5" w:rsidRDefault="00D277B4" w:rsidP="003B5A06">
            <w:pPr>
              <w:pStyle w:val="KeinLeerraum"/>
              <w:suppressAutoHyphens/>
              <w:spacing w:before="120" w:after="120"/>
              <w:rPr>
                <w:rFonts w:ascii="Arial" w:hAnsi="Arial" w:cs="Arial"/>
              </w:rPr>
            </w:pPr>
            <w:r w:rsidRPr="00536FA5">
              <w:rPr>
                <w:rFonts w:ascii="Arial" w:hAnsi="Arial" w:cs="Arial"/>
              </w:rPr>
              <w:t xml:space="preserve">Der Kalte </w:t>
            </w:r>
            <w:r w:rsidR="00284619" w:rsidRPr="00536FA5">
              <w:rPr>
                <w:rFonts w:ascii="Arial" w:hAnsi="Arial" w:cs="Arial"/>
              </w:rPr>
              <w:t>K</w:t>
            </w:r>
            <w:r w:rsidRPr="00536FA5">
              <w:rPr>
                <w:rFonts w:ascii="Arial" w:hAnsi="Arial" w:cs="Arial"/>
              </w:rPr>
              <w:t>rieg: Bipolare Welt und Deutschland nach 1945</w:t>
            </w:r>
            <w:r w:rsidR="002A50B3" w:rsidRPr="00536FA5">
              <w:rPr>
                <w:rFonts w:ascii="Arial" w:hAnsi="Arial" w:cs="Arial"/>
              </w:rPr>
              <w:t xml:space="preserve"> </w:t>
            </w:r>
          </w:p>
          <w:p w:rsidR="00C71E63" w:rsidRPr="00536FA5" w:rsidRDefault="00D277B4" w:rsidP="003B5A06">
            <w:pPr>
              <w:pStyle w:val="KeinLeerraum"/>
              <w:suppressAutoHyphens/>
              <w:spacing w:before="120" w:after="120"/>
              <w:rPr>
                <w:rFonts w:ascii="Arial" w:hAnsi="Arial" w:cs="Arial"/>
              </w:rPr>
            </w:pPr>
            <w:r w:rsidRPr="00536FA5">
              <w:rPr>
                <w:rFonts w:ascii="Arial" w:hAnsi="Arial" w:cs="Arial"/>
              </w:rPr>
              <w:t>Friedliche Revolution 1989 und Deutsche Einheit als Herausforderung und Prozess</w:t>
            </w:r>
          </w:p>
        </w:tc>
      </w:tr>
      <w:tr w:rsidR="005C16CC" w:rsidRPr="008119C5" w:rsidTr="00C16860">
        <w:tc>
          <w:tcPr>
            <w:tcW w:w="2802" w:type="dxa"/>
            <w:tcBorders>
              <w:bottom w:val="single" w:sz="4" w:space="0" w:color="808080" w:themeColor="background1" w:themeShade="80"/>
            </w:tcBorders>
          </w:tcPr>
          <w:p w:rsidR="005C16CC" w:rsidRDefault="005C16CC" w:rsidP="003B5A06">
            <w:pPr>
              <w:tabs>
                <w:tab w:val="left" w:pos="1190"/>
              </w:tabs>
              <w:suppressAutoHyphens/>
              <w:spacing w:before="120" w:after="1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0E10E7" w:rsidP="003B5A06">
            <w:pPr>
              <w:tabs>
                <w:tab w:val="left" w:pos="1190"/>
              </w:tabs>
              <w:suppressAutoHyphens/>
              <w:spacing w:before="120" w:after="120" w:line="240" w:lineRule="auto"/>
            </w:pPr>
            <w:r>
              <w:t>Sprachbildung</w:t>
            </w:r>
          </w:p>
          <w:p w:rsidR="00536FA5" w:rsidRPr="00202F49" w:rsidRDefault="00536FA5" w:rsidP="003B5A06">
            <w:pPr>
              <w:tabs>
                <w:tab w:val="left" w:pos="1190"/>
              </w:tabs>
              <w:suppressAutoHyphens/>
              <w:spacing w:before="120" w:after="120" w:line="240" w:lineRule="auto"/>
            </w:pPr>
            <w:r>
              <w:t>3.3 Demokratiebildung (ÜT)</w:t>
            </w:r>
          </w:p>
        </w:tc>
      </w:tr>
      <w:tr w:rsidR="005C16CC" w:rsidRPr="008119C5" w:rsidTr="00536FA5">
        <w:trPr>
          <w:trHeight w:val="2686"/>
        </w:trPr>
        <w:tc>
          <w:tcPr>
            <w:tcW w:w="2802" w:type="dxa"/>
            <w:tcBorders>
              <w:bottom w:val="single" w:sz="4" w:space="0" w:color="808080" w:themeColor="background1" w:themeShade="80"/>
            </w:tcBorders>
          </w:tcPr>
          <w:p w:rsidR="005C16CC" w:rsidRDefault="004851BE" w:rsidP="003B5A06">
            <w:pPr>
              <w:tabs>
                <w:tab w:val="left" w:pos="1190"/>
              </w:tabs>
              <w:suppressAutoHyphen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vAlign w:val="center"/>
          </w:tcPr>
          <w:p w:rsidR="000E10E7" w:rsidRPr="00536FA5" w:rsidRDefault="00FE1F41" w:rsidP="003B5A06">
            <w:pPr>
              <w:suppressAutoHyphens/>
              <w:spacing w:before="120" w:after="120" w:line="240" w:lineRule="auto"/>
            </w:pPr>
            <w:r w:rsidRPr="00536FA5">
              <w:t>1.3.2</w:t>
            </w:r>
            <w:r w:rsidR="00B85AFB" w:rsidRPr="00536FA5">
              <w:t xml:space="preserve"> </w:t>
            </w:r>
            <w:r w:rsidRPr="00536FA5">
              <w:t xml:space="preserve">Rezeption/Leseverstehen (SB-K2) - </w:t>
            </w:r>
            <w:r w:rsidR="000E10E7" w:rsidRPr="00536FA5">
              <w:t>Texte verstehen und nutzen (SB-K2.1)</w:t>
            </w:r>
          </w:p>
          <w:p w:rsidR="000E10E7" w:rsidRDefault="00AD54F8" w:rsidP="003B5A06">
            <w:pPr>
              <w:suppressAutoHyphens/>
              <w:spacing w:before="120" w:after="120" w:line="240" w:lineRule="auto"/>
            </w:pPr>
            <w:r w:rsidRPr="00536FA5">
              <w:t>G</w:t>
            </w:r>
            <w:r w:rsidR="000E10E7" w:rsidRPr="00536FA5">
              <w:t xml:space="preserve">: </w:t>
            </w:r>
            <w:r w:rsidRPr="00536FA5">
              <w:t>Informationen aus Texten zweckgerichtet nutzen</w:t>
            </w:r>
          </w:p>
          <w:p w:rsidR="00536FA5" w:rsidRPr="00536FA5" w:rsidRDefault="00536FA5" w:rsidP="003B5A06">
            <w:pPr>
              <w:suppressAutoHyphens/>
              <w:spacing w:before="120" w:after="120" w:line="240" w:lineRule="auto"/>
            </w:pPr>
            <w:r>
              <w:t>G: Informationen verschiedener Texte zu einem Thema bewerten</w:t>
            </w:r>
          </w:p>
          <w:p w:rsidR="000E10E7" w:rsidRPr="00536FA5" w:rsidRDefault="000E10E7" w:rsidP="003B5A06">
            <w:pPr>
              <w:suppressAutoHyphens/>
              <w:spacing w:before="120" w:after="120" w:line="240" w:lineRule="auto"/>
              <w:rPr>
                <w:szCs w:val="16"/>
              </w:rPr>
            </w:pPr>
          </w:p>
          <w:p w:rsidR="000E10E7" w:rsidRPr="00536FA5" w:rsidRDefault="00FE1F41" w:rsidP="003B5A06">
            <w:pPr>
              <w:suppressAutoHyphens/>
              <w:spacing w:before="120" w:after="120" w:line="240" w:lineRule="auto"/>
            </w:pPr>
            <w:r w:rsidRPr="00536FA5">
              <w:t xml:space="preserve">1.3.3 Produktion/Sprechen (SB-K2) - </w:t>
            </w:r>
            <w:r w:rsidR="000E10E7" w:rsidRPr="00536FA5">
              <w:t>Sachverhalte und Informationen zusammenfassend wiedergeben (SB-K3.1)</w:t>
            </w:r>
          </w:p>
          <w:p w:rsidR="005C16CC" w:rsidRPr="00536FA5" w:rsidRDefault="00AD54F8" w:rsidP="003B5A06">
            <w:pPr>
              <w:suppressAutoHyphens/>
              <w:spacing w:before="120" w:after="120" w:line="240" w:lineRule="auto"/>
            </w:pPr>
            <w:r w:rsidRPr="00536FA5">
              <w:t>G</w:t>
            </w:r>
            <w:r w:rsidR="000E10E7" w:rsidRPr="00536FA5">
              <w:t xml:space="preserve">: Informationen aus Texten </w:t>
            </w:r>
            <w:r w:rsidRPr="00536FA5">
              <w:t>kommentierend zusammenfassen</w:t>
            </w:r>
          </w:p>
        </w:tc>
      </w:tr>
      <w:tr w:rsidR="00F5187C" w:rsidRPr="008119C5" w:rsidTr="00142DFA">
        <w:tc>
          <w:tcPr>
            <w:tcW w:w="9235" w:type="dxa"/>
            <w:gridSpan w:val="4"/>
            <w:tcBorders>
              <w:bottom w:val="nil"/>
            </w:tcBorders>
          </w:tcPr>
          <w:p w:rsidR="00F5187C" w:rsidRPr="008119C5" w:rsidRDefault="00F5187C" w:rsidP="003B5A06">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C71E63" w:rsidP="003B5A06">
            <w:pPr>
              <w:tabs>
                <w:tab w:val="left" w:pos="840"/>
              </w:tabs>
              <w:suppressAutoHyphens/>
              <w:spacing w:before="120" w:after="120" w:line="240" w:lineRule="auto"/>
              <w:rPr>
                <w:b/>
              </w:rPr>
            </w:pPr>
            <w:r w:rsidRPr="008119C5">
              <w:rPr>
                <w:b/>
              </w:rPr>
              <w:t>O</w:t>
            </w:r>
            <w:r w:rsidR="00F17F92" w:rsidRPr="008119C5">
              <w:rPr>
                <w:b/>
              </w:rPr>
              <w:t>ffen</w:t>
            </w:r>
            <w:r>
              <w:rPr>
                <w:b/>
              </w:rPr>
              <w:t>:</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3B5A06">
            <w:pPr>
              <w:suppressAutoHyphens/>
              <w:spacing w:before="120" w:after="120" w:line="240" w:lineRule="auto"/>
              <w:rPr>
                <w:b/>
              </w:rPr>
            </w:pPr>
            <w:r w:rsidRPr="008119C5">
              <w:rPr>
                <w:b/>
              </w:rPr>
              <w:t>halboffen</w:t>
            </w:r>
            <w:r w:rsidR="00C71E63">
              <w:rPr>
                <w:b/>
              </w:rPr>
              <w:t>:</w:t>
            </w:r>
            <w:r w:rsidR="00334567">
              <w:rPr>
                <w:b/>
              </w:rPr>
              <w:tab/>
            </w:r>
            <w:r w:rsidR="000E10E7">
              <w:rPr>
                <w:b/>
              </w:rPr>
              <w:t>x</w:t>
            </w:r>
          </w:p>
        </w:tc>
        <w:tc>
          <w:tcPr>
            <w:tcW w:w="3079" w:type="dxa"/>
            <w:tcBorders>
              <w:top w:val="nil"/>
              <w:left w:val="nil"/>
              <w:bottom w:val="single" w:sz="4" w:space="0" w:color="808080" w:themeColor="background1" w:themeShade="80"/>
            </w:tcBorders>
          </w:tcPr>
          <w:p w:rsidR="00F17F92" w:rsidRPr="008119C5" w:rsidRDefault="00F17F92" w:rsidP="003B5A06">
            <w:pPr>
              <w:tabs>
                <w:tab w:val="left" w:pos="1735"/>
              </w:tabs>
              <w:suppressAutoHyphens/>
              <w:spacing w:before="120" w:after="120" w:line="240" w:lineRule="auto"/>
              <w:rPr>
                <w:b/>
              </w:rPr>
            </w:pPr>
            <w:r w:rsidRPr="008119C5">
              <w:rPr>
                <w:b/>
              </w:rPr>
              <w:t>geschlossen</w:t>
            </w:r>
            <w:r w:rsidR="00C71E63">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B5A06">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8A2A61">
            <w:pPr>
              <w:suppressAutoHyphens/>
              <w:spacing w:before="120" w:after="120" w:line="240" w:lineRule="auto"/>
              <w:rPr>
                <w:b/>
              </w:rPr>
            </w:pPr>
            <w:r>
              <w:rPr>
                <w:b/>
              </w:rPr>
              <w:t>Datum</w:t>
            </w:r>
            <w:r w:rsidR="002A50B3">
              <w:rPr>
                <w:b/>
              </w:rPr>
              <w:t>:</w:t>
            </w:r>
          </w:p>
        </w:tc>
        <w:tc>
          <w:tcPr>
            <w:tcW w:w="3078" w:type="dxa"/>
            <w:tcBorders>
              <w:top w:val="nil"/>
              <w:left w:val="nil"/>
              <w:bottom w:val="single" w:sz="4" w:space="0" w:color="808080" w:themeColor="background1" w:themeShade="80"/>
              <w:right w:val="nil"/>
            </w:tcBorders>
          </w:tcPr>
          <w:p w:rsidR="00F17F92" w:rsidRPr="008119C5" w:rsidRDefault="00971722" w:rsidP="003B5A06">
            <w:pPr>
              <w:suppressAutoHyphens/>
              <w:spacing w:before="120" w:after="120" w:line="240" w:lineRule="auto"/>
              <w:rPr>
                <w:b/>
              </w:rPr>
            </w:pPr>
            <w:r>
              <w:rPr>
                <w:b/>
              </w:rPr>
              <w:t>Jahrgangsstufe</w:t>
            </w:r>
            <w:r w:rsidR="00F17F92" w:rsidRPr="008119C5">
              <w:rPr>
                <w:b/>
              </w:rPr>
              <w:t>:</w:t>
            </w:r>
            <w:r w:rsidR="00F5187C">
              <w:rPr>
                <w:b/>
              </w:rPr>
              <w:t xml:space="preserve"> </w:t>
            </w:r>
            <w:r w:rsidR="00D277B4">
              <w:rPr>
                <w:b/>
              </w:rPr>
              <w:t>9</w:t>
            </w:r>
            <w:r w:rsidR="001A6150">
              <w:rPr>
                <w:b/>
              </w:rPr>
              <w:t>/</w:t>
            </w:r>
            <w:r w:rsidR="00D277B4">
              <w:rPr>
                <w:b/>
              </w:rPr>
              <w:t>10</w:t>
            </w:r>
          </w:p>
        </w:tc>
        <w:tc>
          <w:tcPr>
            <w:tcW w:w="3079" w:type="dxa"/>
            <w:tcBorders>
              <w:top w:val="nil"/>
              <w:left w:val="nil"/>
              <w:bottom w:val="single" w:sz="4" w:space="0" w:color="808080" w:themeColor="background1" w:themeShade="80"/>
            </w:tcBorders>
          </w:tcPr>
          <w:p w:rsidR="00F17F92" w:rsidRPr="008119C5" w:rsidRDefault="00F17F92" w:rsidP="008A2A61">
            <w:pPr>
              <w:suppressAutoHyphens/>
              <w:spacing w:before="120" w:after="120" w:line="240" w:lineRule="auto"/>
              <w:rPr>
                <w:b/>
              </w:rPr>
            </w:pPr>
            <w:r w:rsidRPr="008119C5">
              <w:rPr>
                <w:b/>
              </w:rPr>
              <w:t>Schulart: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B5A06">
            <w:pPr>
              <w:suppressAutoHyphens/>
              <w:spacing w:before="120" w:after="120" w:line="240" w:lineRule="auto"/>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D277B4" w:rsidP="003B5A06">
            <w:pPr>
              <w:suppressAutoHyphens/>
              <w:spacing w:before="120" w:after="120" w:line="240" w:lineRule="auto"/>
            </w:pPr>
            <w:r>
              <w:t>Geschichtskultur: Erinnern an Vergangenheit</w:t>
            </w:r>
          </w:p>
        </w:tc>
      </w:tr>
    </w:tbl>
    <w:p w:rsidR="00937B60" w:rsidRDefault="00937B60" w:rsidP="003B5A06">
      <w:pPr>
        <w:suppressAutoHyphens/>
        <w:spacing w:before="120" w:after="120"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C71E63" w:rsidRPr="00F5187C" w:rsidRDefault="00C71E63" w:rsidP="003B5A06">
      <w:pPr>
        <w:suppressAutoHyphens/>
        <w:spacing w:before="60" w:after="60"/>
        <w:rPr>
          <w:b/>
          <w:sz w:val="24"/>
          <w:szCs w:val="24"/>
        </w:rPr>
      </w:pPr>
      <w:r w:rsidRPr="00F5187C">
        <w:rPr>
          <w:b/>
          <w:sz w:val="24"/>
          <w:szCs w:val="24"/>
        </w:rPr>
        <w:lastRenderedPageBreak/>
        <w:t>Aufgabe und Material:</w:t>
      </w:r>
    </w:p>
    <w:p w:rsidR="00C71E63" w:rsidRDefault="00C71E63" w:rsidP="003B5A06">
      <w:pPr>
        <w:suppressAutoHyphens/>
        <w:spacing w:line="240" w:lineRule="auto"/>
      </w:pPr>
    </w:p>
    <w:p w:rsidR="00D277B4" w:rsidRPr="003B5A06" w:rsidRDefault="00284619" w:rsidP="003B5A06">
      <w:pPr>
        <w:suppressAutoHyphens/>
        <w:spacing w:line="240" w:lineRule="auto"/>
      </w:pPr>
      <w:r w:rsidRPr="003B5A06">
        <w:t>Wie in jeder Wissenschaft, so ist es auch in Geschicht</w:t>
      </w:r>
      <w:r w:rsidR="001D0653" w:rsidRPr="003B5A06">
        <w:t>swissenschaft</w:t>
      </w:r>
      <w:r w:rsidRPr="003B5A06">
        <w:t xml:space="preserve"> wichtig</w:t>
      </w:r>
      <w:r w:rsidR="001D0653" w:rsidRPr="003B5A06">
        <w:t xml:space="preserve"> und notwendig</w:t>
      </w:r>
      <w:r w:rsidRPr="003B5A06">
        <w:t>, eindeutig zu formulieren. Deshalb werden Fach</w:t>
      </w:r>
      <w:r w:rsidR="001D0653" w:rsidRPr="003B5A06">
        <w:t xml:space="preserve">begriffe und </w:t>
      </w:r>
      <w:r w:rsidRPr="003B5A06">
        <w:t xml:space="preserve">Formulierungen immer wieder </w:t>
      </w:r>
      <w:r w:rsidR="00473C62" w:rsidRPr="003B5A06">
        <w:t xml:space="preserve">auf ihre Eignung </w:t>
      </w:r>
      <w:r w:rsidRPr="003B5A06">
        <w:t xml:space="preserve">in der Lehre, </w:t>
      </w:r>
      <w:r w:rsidR="001D0653" w:rsidRPr="003B5A06">
        <w:t xml:space="preserve">in der </w:t>
      </w:r>
      <w:r w:rsidRPr="003B5A06">
        <w:t xml:space="preserve">Bildung und im </w:t>
      </w:r>
      <w:r w:rsidR="00473C62" w:rsidRPr="003B5A06">
        <w:t>Alltags</w:t>
      </w:r>
      <w:r w:rsidRPr="003B5A06">
        <w:t>gebrauch</w:t>
      </w:r>
      <w:r w:rsidR="00473C62" w:rsidRPr="003B5A06">
        <w:t xml:space="preserve"> überprüft</w:t>
      </w:r>
      <w:r w:rsidR="00D277B4" w:rsidRPr="003B5A06">
        <w:t>. Das betrifft auch die historischen Ereignisse i</w:t>
      </w:r>
      <w:r w:rsidR="001D0653" w:rsidRPr="003B5A06">
        <w:t>n Bezu</w:t>
      </w:r>
      <w:r w:rsidR="00D277B4" w:rsidRPr="003B5A06">
        <w:t xml:space="preserve">g </w:t>
      </w:r>
      <w:r w:rsidR="001D0653" w:rsidRPr="003B5A06">
        <w:t xml:space="preserve">auf </w:t>
      </w:r>
      <w:r w:rsidR="00D277B4" w:rsidRPr="003B5A06">
        <w:t>d</w:t>
      </w:r>
      <w:r w:rsidR="001D0653" w:rsidRPr="003B5A06">
        <w:t>i</w:t>
      </w:r>
      <w:r w:rsidR="00D277B4" w:rsidRPr="003B5A06">
        <w:t xml:space="preserve">e Veränderungen in der DDR und </w:t>
      </w:r>
      <w:r w:rsidRPr="003B5A06">
        <w:t xml:space="preserve">in </w:t>
      </w:r>
      <w:r w:rsidR="00D277B4" w:rsidRPr="003B5A06">
        <w:t>Osteuropa</w:t>
      </w:r>
      <w:r w:rsidR="00473C62" w:rsidRPr="003B5A06">
        <w:t xml:space="preserve"> </w:t>
      </w:r>
      <w:r w:rsidR="001D0653" w:rsidRPr="003B5A06">
        <w:t xml:space="preserve">ab Mitte der 80er </w:t>
      </w:r>
      <w:r w:rsidR="00473C62" w:rsidRPr="003B5A06">
        <w:t>Jahre</w:t>
      </w:r>
      <w:r w:rsidR="001D0653" w:rsidRPr="003B5A06">
        <w:t xml:space="preserve"> im 20. Jahrhundert und das Ende der DDR nach 1989</w:t>
      </w:r>
      <w:r w:rsidR="00D277B4" w:rsidRPr="003B5A06">
        <w:t>.</w:t>
      </w:r>
    </w:p>
    <w:p w:rsidR="00D277B4" w:rsidRPr="003B5A06" w:rsidRDefault="00455FF3" w:rsidP="003B5A06">
      <w:pPr>
        <w:suppressAutoHyphens/>
        <w:spacing w:line="240" w:lineRule="auto"/>
      </w:pPr>
      <w:r w:rsidRPr="003B5A06">
        <w:t>Die fo</w:t>
      </w:r>
      <w:r w:rsidR="00D277B4" w:rsidRPr="003B5A06">
        <w:t>lgenden Text</w:t>
      </w:r>
      <w:r w:rsidR="00AD4229" w:rsidRPr="003B5A06">
        <w:t>auszüge</w:t>
      </w:r>
      <w:r w:rsidR="00D277B4" w:rsidRPr="003B5A06">
        <w:t xml:space="preserve"> </w:t>
      </w:r>
      <w:r w:rsidR="00AD4229" w:rsidRPr="003B5A06">
        <w:t xml:space="preserve">stammen </w:t>
      </w:r>
      <w:r w:rsidR="00D277B4" w:rsidRPr="003B5A06">
        <w:t>von Wissenschaftlern</w:t>
      </w:r>
      <w:r w:rsidR="00AD4229" w:rsidRPr="003B5A06">
        <w:t>, die unterschiedliche Formulierungen für den</w:t>
      </w:r>
      <w:r w:rsidR="001D0653" w:rsidRPr="003B5A06">
        <w:t>selben</w:t>
      </w:r>
      <w:r w:rsidR="00AD4229" w:rsidRPr="003B5A06">
        <w:t xml:space="preserve"> </w:t>
      </w:r>
      <w:r w:rsidRPr="003B5A06">
        <w:t xml:space="preserve">historischen </w:t>
      </w:r>
      <w:r w:rsidR="00AD4229" w:rsidRPr="003B5A06">
        <w:t xml:space="preserve">Sachverhalt </w:t>
      </w:r>
      <w:r w:rsidR="001D0653" w:rsidRPr="003B5A06">
        <w:t>ge</w:t>
      </w:r>
      <w:r w:rsidR="00AD4229" w:rsidRPr="003B5A06">
        <w:t>wähl</w:t>
      </w:r>
      <w:r w:rsidR="001D0653" w:rsidRPr="003B5A06">
        <w:t>t hab</w:t>
      </w:r>
      <w:r w:rsidR="00AD4229" w:rsidRPr="003B5A06">
        <w:t>en</w:t>
      </w:r>
      <w:r w:rsidRPr="003B5A06">
        <w:t>.</w:t>
      </w:r>
    </w:p>
    <w:p w:rsidR="00C03AD9" w:rsidRPr="003B5A06" w:rsidRDefault="00C03AD9" w:rsidP="003B5A06">
      <w:pPr>
        <w:suppressAutoHyphens/>
        <w:spacing w:line="240" w:lineRule="auto"/>
      </w:pPr>
    </w:p>
    <w:p w:rsidR="006F33FD" w:rsidRPr="003B5A06" w:rsidRDefault="006F33FD" w:rsidP="003B5A06">
      <w:pPr>
        <w:pStyle w:val="Listenabsatz"/>
        <w:numPr>
          <w:ilvl w:val="0"/>
          <w:numId w:val="18"/>
        </w:numPr>
        <w:suppressAutoHyphens/>
        <w:spacing w:line="240" w:lineRule="auto"/>
      </w:pPr>
      <w:r w:rsidRPr="003B5A06">
        <w:t>Erkläre die jeweiligen Fachbegriffe:</w:t>
      </w:r>
    </w:p>
    <w:p w:rsidR="00C71E63" w:rsidRPr="003B5A06" w:rsidRDefault="006F33FD" w:rsidP="003B5A06">
      <w:pPr>
        <w:suppressAutoHyphens/>
        <w:spacing w:line="240" w:lineRule="auto"/>
        <w:ind w:left="708" w:firstLine="360"/>
        <w:rPr>
          <w:b/>
        </w:rPr>
      </w:pPr>
      <w:r w:rsidRPr="003B5A06">
        <w:rPr>
          <w:b/>
        </w:rPr>
        <w:t>F</w:t>
      </w:r>
      <w:r w:rsidR="00455FF3" w:rsidRPr="003B5A06">
        <w:rPr>
          <w:b/>
        </w:rPr>
        <w:t>riedliche Revolution</w:t>
      </w:r>
      <w:r w:rsidR="00CF1B2E" w:rsidRPr="003B5A06">
        <w:rPr>
          <w:b/>
        </w:rPr>
        <w:t>,</w:t>
      </w:r>
      <w:r w:rsidR="00455FF3" w:rsidRPr="003B5A06">
        <w:rPr>
          <w:b/>
        </w:rPr>
        <w:t xml:space="preserve"> </w:t>
      </w:r>
      <w:r w:rsidR="00284619" w:rsidRPr="003B5A06">
        <w:rPr>
          <w:b/>
        </w:rPr>
        <w:t>Implosion/</w:t>
      </w:r>
      <w:r w:rsidR="00455FF3" w:rsidRPr="003B5A06">
        <w:rPr>
          <w:b/>
        </w:rPr>
        <w:t>Zusammenbruch</w:t>
      </w:r>
      <w:r w:rsidRPr="003B5A06">
        <w:rPr>
          <w:b/>
        </w:rPr>
        <w:t xml:space="preserve"> </w:t>
      </w:r>
      <w:r w:rsidR="00455FF3" w:rsidRPr="003B5A06">
        <w:rPr>
          <w:b/>
        </w:rPr>
        <w:t>und Revolution</w:t>
      </w:r>
      <w:r w:rsidR="00C71E63" w:rsidRPr="003B5A06">
        <w:rPr>
          <w:b/>
        </w:rPr>
        <w:t>.</w:t>
      </w:r>
    </w:p>
    <w:p w:rsidR="006F33FD" w:rsidRPr="003B5A06" w:rsidRDefault="006F33FD" w:rsidP="003B5A06">
      <w:pPr>
        <w:pStyle w:val="Listenabsatz"/>
        <w:numPr>
          <w:ilvl w:val="0"/>
          <w:numId w:val="18"/>
        </w:numPr>
        <w:suppressAutoHyphens/>
        <w:spacing w:line="240" w:lineRule="auto"/>
      </w:pPr>
      <w:r w:rsidRPr="003B5A06">
        <w:t>Erkläre, welche Absicht die Wissenschaftler in Bezug auf die Bewertung des Systemzusammenbruchs in der DDR verfolgen.</w:t>
      </w:r>
    </w:p>
    <w:p w:rsidR="006F33FD" w:rsidRPr="003B5A06" w:rsidRDefault="006F33FD" w:rsidP="003B5A06">
      <w:pPr>
        <w:pStyle w:val="Listenabsatz"/>
        <w:numPr>
          <w:ilvl w:val="0"/>
          <w:numId w:val="18"/>
        </w:numPr>
        <w:suppressAutoHyphens/>
        <w:spacing w:line="240" w:lineRule="auto"/>
      </w:pPr>
      <w:r w:rsidRPr="003B5A06">
        <w:t>Erkläre in einem aussagekräftigen Satz, welche Bedeutung Fachbegriffe für die Auseinandersetzung mit einem historischen Sachverhalt haben.</w:t>
      </w:r>
    </w:p>
    <w:p w:rsidR="007A7E18" w:rsidRPr="003B5A06" w:rsidRDefault="007A7E18" w:rsidP="003B5A06">
      <w:pPr>
        <w:suppressAutoHyphens/>
        <w:spacing w:line="240" w:lineRule="auto"/>
        <w:rPr>
          <w:color w:val="464646"/>
        </w:rPr>
      </w:pPr>
    </w:p>
    <w:p w:rsidR="00473C62" w:rsidRPr="003B5A06" w:rsidRDefault="00473C62" w:rsidP="003B5A06">
      <w:pPr>
        <w:suppressAutoHyphens/>
        <w:spacing w:line="240" w:lineRule="auto"/>
        <w:rPr>
          <w:color w:val="464646"/>
        </w:rPr>
      </w:pPr>
    </w:p>
    <w:p w:rsidR="007A7E18" w:rsidRPr="003B5A06" w:rsidRDefault="007A7E18" w:rsidP="001E371D">
      <w:pPr>
        <w:suppressAutoHyphens/>
        <w:spacing w:line="240" w:lineRule="auto"/>
        <w:rPr>
          <w:b/>
          <w:i/>
        </w:rPr>
      </w:pPr>
      <w:r w:rsidRPr="003B5A06">
        <w:rPr>
          <w:b/>
          <w:i/>
        </w:rPr>
        <w:t>Die als politischer Bildungsverein im Jahre 1990 gegründete</w:t>
      </w:r>
      <w:r w:rsidR="001E371D">
        <w:rPr>
          <w:b/>
          <w:i/>
        </w:rPr>
        <w:t xml:space="preserve"> </w:t>
      </w:r>
      <w:r w:rsidRPr="003B5A06">
        <w:rPr>
          <w:b/>
          <w:i/>
        </w:rPr>
        <w:t>Robert</w:t>
      </w:r>
      <w:r w:rsidR="001E371D">
        <w:rPr>
          <w:b/>
          <w:i/>
        </w:rPr>
        <w:t>-</w:t>
      </w:r>
      <w:r w:rsidRPr="003B5A06">
        <w:rPr>
          <w:b/>
          <w:i/>
        </w:rPr>
        <w:t>Havemann</w:t>
      </w:r>
      <w:r w:rsidR="00284619" w:rsidRPr="003B5A06">
        <w:rPr>
          <w:b/>
          <w:i/>
        </w:rPr>
        <w:t>-</w:t>
      </w:r>
      <w:r w:rsidR="001E371D">
        <w:rPr>
          <w:b/>
          <w:i/>
        </w:rPr>
        <w:t>Gesellschaft</w:t>
      </w:r>
      <w:r w:rsidRPr="003B5A06">
        <w:rPr>
          <w:b/>
          <w:i/>
        </w:rPr>
        <w:t xml:space="preserve"> definiert auf ihrer Homepage:</w:t>
      </w:r>
    </w:p>
    <w:p w:rsidR="001E371D" w:rsidRDefault="007A7E18" w:rsidP="001E371D">
      <w:pPr>
        <w:suppressAutoHyphens/>
        <w:spacing w:line="240" w:lineRule="auto"/>
      </w:pPr>
      <w:r w:rsidRPr="003B5A06">
        <w:t>„Der Begriff Friedliche Revolution steht für einen einzigartigen Vorgang: Sturz eines repressiven Systems durch die massenhafte Mobilisierung gewaltfreien Protestes in Form von Demonstrationen, Versammlungen und anderen Aktionen für bürgerliche Freiheiten, demokratische Rechte und die Durchsetzung zivilgesellschaftlicher Normen. Ein Höhepunkt innerhalb einer Kette von bemerkenswerten Ereignissen ist die Protestdemonstration am</w:t>
      </w:r>
    </w:p>
    <w:p w:rsidR="00455FF3" w:rsidRPr="003B5A06" w:rsidRDefault="007A7E18" w:rsidP="001E371D">
      <w:pPr>
        <w:suppressAutoHyphens/>
        <w:spacing w:line="240" w:lineRule="auto"/>
        <w:rPr>
          <w:i/>
        </w:rPr>
      </w:pPr>
      <w:r w:rsidRPr="003B5A06">
        <w:t>4. November 1989, die auf dem Berliner Alexanderplatz mit einer Kundgebung endete.“</w:t>
      </w:r>
    </w:p>
    <w:p w:rsidR="007A7E18" w:rsidRPr="003B5A06" w:rsidRDefault="007A7E18" w:rsidP="001E371D">
      <w:pPr>
        <w:suppressAutoHyphens/>
        <w:spacing w:line="240" w:lineRule="auto"/>
        <w:rPr>
          <w:i/>
        </w:rPr>
      </w:pPr>
      <w:r w:rsidRPr="003B5A06">
        <w:rPr>
          <w:i/>
        </w:rPr>
        <w:t xml:space="preserve">Fundort: </w:t>
      </w:r>
      <w:hyperlink r:id="rId10" w:history="1">
        <w:r w:rsidRPr="001E371D">
          <w:rPr>
            <w:rStyle w:val="Hyperlink"/>
            <w:i/>
            <w:color w:val="auto"/>
            <w:u w:val="none"/>
          </w:rPr>
          <w:t>http://www.havemann-gesellschaft.de/index.php?id=472</w:t>
        </w:r>
      </w:hyperlink>
      <w:r w:rsidRPr="001E371D">
        <w:rPr>
          <w:i/>
        </w:rPr>
        <w:t xml:space="preserve"> </w:t>
      </w:r>
      <w:r w:rsidRPr="003B5A06">
        <w:rPr>
          <w:i/>
        </w:rPr>
        <w:t>(Zugriff am 25.05.2016)</w:t>
      </w:r>
    </w:p>
    <w:p w:rsidR="007A7E18" w:rsidRPr="003B5A06" w:rsidRDefault="007A7E18" w:rsidP="001E371D">
      <w:pPr>
        <w:suppressAutoHyphens/>
        <w:spacing w:line="240" w:lineRule="auto"/>
        <w:rPr>
          <w:i/>
        </w:rPr>
      </w:pPr>
    </w:p>
    <w:p w:rsidR="00316342" w:rsidRPr="003B5A06" w:rsidRDefault="00316342" w:rsidP="001E371D">
      <w:pPr>
        <w:suppressAutoHyphens/>
        <w:spacing w:line="240" w:lineRule="auto"/>
        <w:rPr>
          <w:i/>
        </w:rPr>
      </w:pPr>
    </w:p>
    <w:p w:rsidR="00C03AD9" w:rsidRPr="003B5A06" w:rsidRDefault="00C03AD9" w:rsidP="001E371D">
      <w:pPr>
        <w:suppressAutoHyphens/>
        <w:spacing w:line="240" w:lineRule="auto"/>
        <w:rPr>
          <w:i/>
        </w:rPr>
      </w:pPr>
    </w:p>
    <w:p w:rsidR="00455FF3" w:rsidRPr="003B5A06" w:rsidRDefault="00455FF3" w:rsidP="001E371D">
      <w:pPr>
        <w:suppressAutoHyphens/>
        <w:spacing w:line="240" w:lineRule="auto"/>
        <w:rPr>
          <w:b/>
        </w:rPr>
      </w:pPr>
      <w:r w:rsidRPr="003B5A06">
        <w:rPr>
          <w:b/>
          <w:i/>
        </w:rPr>
        <w:t>Der Chemnitzer Politikwissenschaftler Eckhard Jesse distanzierte sich</w:t>
      </w:r>
      <w:r w:rsidR="001E371D">
        <w:rPr>
          <w:b/>
          <w:i/>
        </w:rPr>
        <w:t xml:space="preserve"> </w:t>
      </w:r>
      <w:r w:rsidRPr="003B5A06">
        <w:rPr>
          <w:b/>
          <w:i/>
        </w:rPr>
        <w:t>im Jahre 2006 vom Revolutionsbegriff:</w:t>
      </w:r>
    </w:p>
    <w:p w:rsidR="00455FF3" w:rsidRPr="003B5A06" w:rsidRDefault="00455FF3" w:rsidP="001E371D">
      <w:pPr>
        <w:suppressAutoHyphens/>
        <w:spacing w:line="240" w:lineRule="auto"/>
      </w:pPr>
      <w:r w:rsidRPr="003B5A06">
        <w:t>„Denn als die Bajonette der Sowjetunion nicht mehr die DDR schützten, war es um sie geschehen. Insofern wohnt der Kennzeichnung der Revolution als eine Implosion, eine Art Zusammenbruch</w:t>
      </w:r>
      <w:r w:rsidR="00CF1B2E" w:rsidRPr="003B5A06">
        <w:t xml:space="preserve"> </w:t>
      </w:r>
      <w:r w:rsidR="00CF1B2E" w:rsidRPr="003B5A06">
        <w:rPr>
          <w:iCs/>
        </w:rPr>
        <w:t xml:space="preserve">[…] </w:t>
      </w:r>
      <w:r w:rsidRPr="003B5A06">
        <w:t>inne.“</w:t>
      </w:r>
    </w:p>
    <w:p w:rsidR="00455FF3" w:rsidRPr="003B5A06" w:rsidRDefault="00455FF3" w:rsidP="001E371D">
      <w:pPr>
        <w:suppressAutoHyphens/>
        <w:spacing w:line="240" w:lineRule="auto"/>
        <w:rPr>
          <w:rStyle w:val="reference-text"/>
          <w:rFonts w:cs="Miriam"/>
          <w:i/>
        </w:rPr>
      </w:pPr>
      <w:r w:rsidRPr="003B5A06">
        <w:rPr>
          <w:i/>
        </w:rPr>
        <w:t xml:space="preserve">Fundort: Eckhard Jesse, </w:t>
      </w:r>
      <w:r w:rsidRPr="003B5A06">
        <w:rPr>
          <w:rStyle w:val="reference-text"/>
          <w:rFonts w:cs="Miriam"/>
          <w:i/>
          <w:iCs/>
        </w:rPr>
        <w:t>Friedliche Revolution und deutsche Einheit. Sächsische Bürgerrechtler ziehen Bilanz.</w:t>
      </w:r>
      <w:r w:rsidRPr="003B5A06">
        <w:rPr>
          <w:rStyle w:val="reference-text"/>
          <w:rFonts w:cs="Miriam"/>
          <w:i/>
        </w:rPr>
        <w:t xml:space="preserve"> Berlin 2006, S. 7</w:t>
      </w:r>
    </w:p>
    <w:p w:rsidR="00455FF3" w:rsidRPr="003B5A06" w:rsidRDefault="00455FF3" w:rsidP="001E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Times New Roman" w:cs="Arial"/>
          <w:i/>
          <w:lang w:eastAsia="de-DE"/>
        </w:rPr>
      </w:pPr>
    </w:p>
    <w:p w:rsidR="00316342" w:rsidRPr="003B5A06" w:rsidRDefault="00316342" w:rsidP="001E371D">
      <w:pPr>
        <w:suppressAutoHyphens/>
        <w:spacing w:line="240" w:lineRule="auto"/>
        <w:rPr>
          <w:b/>
        </w:rPr>
      </w:pPr>
    </w:p>
    <w:p w:rsidR="00455FF3" w:rsidRPr="003B5A06" w:rsidRDefault="00455FF3" w:rsidP="001E371D">
      <w:pPr>
        <w:suppressAutoHyphens/>
        <w:spacing w:line="240" w:lineRule="auto"/>
        <w:rPr>
          <w:b/>
        </w:rPr>
      </w:pPr>
    </w:p>
    <w:p w:rsidR="00455FF3" w:rsidRPr="003B5A06" w:rsidRDefault="00455FF3" w:rsidP="001E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Times New Roman" w:cs="Arial"/>
          <w:b/>
          <w:i/>
          <w:lang w:eastAsia="de-DE"/>
        </w:rPr>
      </w:pPr>
      <w:r w:rsidRPr="003B5A06">
        <w:rPr>
          <w:rFonts w:eastAsia="Times New Roman" w:cs="Arial"/>
          <w:b/>
          <w:i/>
          <w:lang w:eastAsia="de-DE"/>
        </w:rPr>
        <w:t xml:space="preserve">Der Historiker Ilko-Sascha </w:t>
      </w:r>
      <w:proofErr w:type="spellStart"/>
      <w:r w:rsidRPr="003B5A06">
        <w:rPr>
          <w:rFonts w:eastAsia="Times New Roman" w:cs="Arial"/>
          <w:b/>
          <w:i/>
          <w:lang w:eastAsia="de-DE"/>
        </w:rPr>
        <w:t>Kowalczuk</w:t>
      </w:r>
      <w:proofErr w:type="spellEnd"/>
      <w:r w:rsidR="00F239DB">
        <w:rPr>
          <w:rFonts w:eastAsia="Times New Roman" w:cs="Arial"/>
          <w:b/>
          <w:i/>
          <w:lang w:eastAsia="de-DE"/>
        </w:rPr>
        <w:t xml:space="preserve"> </w:t>
      </w:r>
      <w:r w:rsidR="00F239DB" w:rsidRPr="00F239DB">
        <w:rPr>
          <w:rFonts w:eastAsia="Times New Roman" w:cs="Arial"/>
          <w:i/>
          <w:lang w:eastAsia="de-DE"/>
        </w:rPr>
        <w:t xml:space="preserve">ist </w:t>
      </w:r>
      <w:r w:rsidR="006F33FD" w:rsidRPr="003B5A06">
        <w:rPr>
          <w:rFonts w:eastAsia="Times New Roman" w:cs="Arial"/>
          <w:i/>
          <w:lang w:eastAsia="de-DE"/>
        </w:rPr>
        <w:t>Projektleiter bei der Behörde des</w:t>
      </w:r>
      <w:r w:rsidR="001E371D">
        <w:rPr>
          <w:rFonts w:eastAsia="Times New Roman" w:cs="Arial"/>
          <w:i/>
          <w:lang w:eastAsia="de-DE"/>
        </w:rPr>
        <w:t xml:space="preserve"> </w:t>
      </w:r>
      <w:r w:rsidR="006F33FD" w:rsidRPr="003B5A06">
        <w:rPr>
          <w:rFonts w:eastAsia="Times New Roman" w:cs="Arial"/>
          <w:i/>
          <w:lang w:eastAsia="de-DE"/>
        </w:rPr>
        <w:t>Bundesbeauftragten für die Unterlagen des Staatssicherheitsdienstes</w:t>
      </w:r>
      <w:r w:rsidRPr="003B5A06">
        <w:rPr>
          <w:rFonts w:eastAsia="Times New Roman" w:cs="Arial"/>
          <w:i/>
          <w:lang w:eastAsia="de-DE"/>
        </w:rPr>
        <w:t xml:space="preserve"> </w:t>
      </w:r>
      <w:r w:rsidR="006F33FD" w:rsidRPr="003B5A06">
        <w:rPr>
          <w:rFonts w:eastAsia="Times New Roman" w:cs="Arial"/>
          <w:i/>
          <w:lang w:eastAsia="de-DE"/>
        </w:rPr>
        <w:t>in der ehemaligen Deutschen Demokratischen Republik (</w:t>
      </w:r>
      <w:proofErr w:type="spellStart"/>
      <w:r w:rsidR="006F33FD" w:rsidRPr="003B5A06">
        <w:rPr>
          <w:rFonts w:eastAsia="Times New Roman" w:cs="Arial"/>
          <w:i/>
          <w:lang w:eastAsia="de-DE"/>
        </w:rPr>
        <w:t>BStU</w:t>
      </w:r>
      <w:proofErr w:type="spellEnd"/>
      <w:r w:rsidR="006F33FD" w:rsidRPr="003B5A06">
        <w:rPr>
          <w:rFonts w:eastAsia="Times New Roman" w:cs="Arial"/>
          <w:i/>
          <w:lang w:eastAsia="de-DE"/>
        </w:rPr>
        <w:t>)</w:t>
      </w:r>
      <w:r w:rsidR="00F239DB">
        <w:rPr>
          <w:rFonts w:eastAsia="Times New Roman" w:cs="Arial"/>
          <w:i/>
          <w:lang w:eastAsia="de-DE"/>
        </w:rPr>
        <w:t>. Er</w:t>
      </w:r>
      <w:r w:rsidR="006F33FD" w:rsidRPr="003B5A06">
        <w:rPr>
          <w:rFonts w:eastAsia="Times New Roman" w:cs="Arial"/>
          <w:b/>
          <w:i/>
          <w:lang w:eastAsia="de-DE"/>
        </w:rPr>
        <w:t xml:space="preserve"> </w:t>
      </w:r>
      <w:r w:rsidRPr="003B5A06">
        <w:rPr>
          <w:rFonts w:eastAsia="Times New Roman" w:cs="Arial"/>
          <w:b/>
          <w:i/>
          <w:lang w:eastAsia="de-DE"/>
        </w:rPr>
        <w:t>plädierte im Jahre 2009 für die Nutzung des Begriffs Revolution:</w:t>
      </w:r>
    </w:p>
    <w:p w:rsidR="00455FF3" w:rsidRPr="003B5A06" w:rsidRDefault="00455FF3" w:rsidP="001E371D">
      <w:pPr>
        <w:suppressAutoHyphens/>
        <w:spacing w:line="240" w:lineRule="auto"/>
      </w:pPr>
      <w:r w:rsidRPr="003B5A06">
        <w:t xml:space="preserve">„Bürger- und Massenbewegungen stellten sich ihr </w:t>
      </w:r>
      <w:r w:rsidR="001E371D">
        <w:t>[</w:t>
      </w:r>
      <w:r w:rsidR="00284619" w:rsidRPr="003B5A06">
        <w:t>der SED-Diktatur</w:t>
      </w:r>
      <w:r w:rsidR="001E371D">
        <w:t>]</w:t>
      </w:r>
      <w:r w:rsidR="00284619" w:rsidRPr="003B5A06">
        <w:t xml:space="preserve"> </w:t>
      </w:r>
      <w:r w:rsidRPr="003B5A06">
        <w:t>entgegen und forderten neue politische, gesellschaftliche, ökonomische und kulturelle Strukturen; eine neue Ordnung wurde errichtet; innerhalb weniger Monate beseitigte die Bewegung alte Strukturen, Werte, Ideen, Kulturen und Herrschaftseliten, fast nichts war im öffentlichen Raum wie zuvor, was spricht dann gegen die Bezeichnung als Revolution?“</w:t>
      </w:r>
    </w:p>
    <w:p w:rsidR="001E371D" w:rsidRDefault="00455FF3" w:rsidP="001E371D">
      <w:pPr>
        <w:suppressAutoHyphens/>
        <w:spacing w:line="240" w:lineRule="auto"/>
        <w:rPr>
          <w:i/>
        </w:rPr>
      </w:pPr>
      <w:r w:rsidRPr="003B5A06">
        <w:rPr>
          <w:i/>
          <w:iCs/>
        </w:rPr>
        <w:t>Fundort: Ilko-Sa</w:t>
      </w:r>
      <w:r w:rsidR="009F53AC">
        <w:rPr>
          <w:i/>
          <w:iCs/>
        </w:rPr>
        <w:t>s</w:t>
      </w:r>
      <w:r w:rsidRPr="003B5A06">
        <w:rPr>
          <w:i/>
          <w:iCs/>
        </w:rPr>
        <w:t xml:space="preserve">cha </w:t>
      </w:r>
      <w:proofErr w:type="spellStart"/>
      <w:r w:rsidRPr="003B5A06">
        <w:rPr>
          <w:i/>
        </w:rPr>
        <w:t>Kowalczuk</w:t>
      </w:r>
      <w:proofErr w:type="spellEnd"/>
      <w:r w:rsidRPr="003B5A06">
        <w:rPr>
          <w:i/>
        </w:rPr>
        <w:t xml:space="preserve">, </w:t>
      </w:r>
      <w:r w:rsidRPr="003B5A06">
        <w:rPr>
          <w:i/>
          <w:iCs/>
        </w:rPr>
        <w:t>Endspiel. Die Revolution von 1989 in der DDR</w:t>
      </w:r>
      <w:r w:rsidR="00EA7666">
        <w:rPr>
          <w:i/>
        </w:rPr>
        <w:t>.</w:t>
      </w:r>
    </w:p>
    <w:p w:rsidR="00455FF3" w:rsidRPr="003B5A06" w:rsidRDefault="00EA7666" w:rsidP="001E371D">
      <w:pPr>
        <w:suppressAutoHyphens/>
        <w:spacing w:line="240" w:lineRule="auto"/>
        <w:rPr>
          <w:i/>
        </w:rPr>
      </w:pPr>
      <w:r w:rsidRPr="00EA7666">
        <w:rPr>
          <w:i/>
        </w:rPr>
        <w:t>Verlag C.H.</w:t>
      </w:r>
      <w:r w:rsidR="001E371D">
        <w:rPr>
          <w:i/>
        </w:rPr>
        <w:t xml:space="preserve"> </w:t>
      </w:r>
      <w:r w:rsidRPr="00EA7666">
        <w:rPr>
          <w:i/>
        </w:rPr>
        <w:t>Beck</w:t>
      </w:r>
      <w:r w:rsidR="00455FF3" w:rsidRPr="003B5A06">
        <w:rPr>
          <w:i/>
        </w:rPr>
        <w:t>, München 2009, S. 540</w:t>
      </w:r>
    </w:p>
    <w:p w:rsidR="003B5A06" w:rsidRDefault="003B5A06" w:rsidP="001E371D">
      <w:pPr>
        <w:suppressAutoHyphens/>
      </w:pPr>
    </w:p>
    <w:p w:rsidR="00455FF3" w:rsidRDefault="00C03AD9" w:rsidP="003B5A06">
      <w:pPr>
        <w:suppressAutoHyphens/>
        <w:rPr>
          <w:i/>
          <w:sz w:val="20"/>
          <w:szCs w:val="20"/>
        </w:rPr>
      </w:pPr>
      <w:r w:rsidRPr="00F66D5A">
        <w:rPr>
          <w:i/>
          <w:noProof/>
          <w:sz w:val="20"/>
          <w:szCs w:val="20"/>
          <w:lang w:eastAsia="de-DE"/>
        </w:rPr>
        <w:drawing>
          <wp:inline distT="0" distB="0" distL="0" distR="0">
            <wp:extent cx="1227411" cy="429442"/>
            <wp:effectExtent l="19050" t="0" r="0" b="0"/>
            <wp:docPr id="8"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t xml:space="preserve"> </w:t>
      </w:r>
      <w:r w:rsidRPr="00EE1EB1">
        <w:t>LISUM</w:t>
      </w:r>
      <w:r w:rsidR="009F53AC">
        <w:t xml:space="preserve"> 2017</w:t>
      </w:r>
    </w:p>
    <w:p w:rsidR="00C71E63" w:rsidRPr="003B5A06" w:rsidRDefault="00C71E63" w:rsidP="003B5A06">
      <w:pPr>
        <w:suppressAutoHyphens/>
        <w:spacing w:before="60" w:after="60"/>
        <w:rPr>
          <w:b/>
          <w:sz w:val="24"/>
          <w:szCs w:val="24"/>
        </w:rPr>
      </w:pPr>
      <w:r w:rsidRPr="003B5A06">
        <w:rPr>
          <w:b/>
          <w:sz w:val="24"/>
          <w:szCs w:val="24"/>
        </w:rPr>
        <w:lastRenderedPageBreak/>
        <w:t>Erwartungshorizont:</w:t>
      </w:r>
    </w:p>
    <w:p w:rsidR="00C71E63" w:rsidRDefault="00C71E63" w:rsidP="003B5A06">
      <w:pPr>
        <w:suppressAutoHyphens/>
        <w:spacing w:line="240" w:lineRule="auto"/>
      </w:pPr>
    </w:p>
    <w:p w:rsidR="00316342" w:rsidRDefault="00316342" w:rsidP="003B5A06">
      <w:pPr>
        <w:suppressAutoHyphens/>
        <w:spacing w:line="240" w:lineRule="auto"/>
      </w:pPr>
      <w:r>
        <w:t xml:space="preserve">Die Schülerinnen und Schüler erklären </w:t>
      </w:r>
      <w:r w:rsidR="006F33FD">
        <w:t xml:space="preserve">im Kontext der </w:t>
      </w:r>
      <w:r w:rsidRPr="008A27FE">
        <w:rPr>
          <w:b/>
        </w:rPr>
        <w:t xml:space="preserve">Aufgabenstellung </w:t>
      </w:r>
      <w:r w:rsidR="006F33FD" w:rsidRPr="008A27FE">
        <w:rPr>
          <w:b/>
        </w:rPr>
        <w:t>1 und 2</w:t>
      </w:r>
      <w:r w:rsidR="006F33FD">
        <w:t xml:space="preserve"> die </w:t>
      </w:r>
      <w:r w:rsidR="006F33FD" w:rsidRPr="008A27FE">
        <w:rPr>
          <w:b/>
        </w:rPr>
        <w:t>Absicht der Autoren</w:t>
      </w:r>
      <w:r w:rsidR="006F33FD">
        <w:t xml:space="preserve"> mit</w:t>
      </w:r>
      <w:r w:rsidR="001E371D">
        <w:t>h</w:t>
      </w:r>
      <w:r w:rsidR="006F33FD">
        <w:t xml:space="preserve">ilfe der </w:t>
      </w:r>
      <w:r w:rsidRPr="008A27FE">
        <w:rPr>
          <w:b/>
        </w:rPr>
        <w:t>Fachbegriffe</w:t>
      </w:r>
      <w:r w:rsidR="006F33FD">
        <w:t>. Sie erklären, indem sie ausführen, dass</w:t>
      </w:r>
    </w:p>
    <w:p w:rsidR="006F33FD" w:rsidRDefault="006F33FD" w:rsidP="003B5A06">
      <w:pPr>
        <w:suppressAutoHyphens/>
        <w:spacing w:line="240" w:lineRule="auto"/>
      </w:pPr>
    </w:p>
    <w:p w:rsidR="00316342" w:rsidRDefault="008A27FE" w:rsidP="003B5A06">
      <w:pPr>
        <w:pStyle w:val="Listenabsatz"/>
        <w:numPr>
          <w:ilvl w:val="0"/>
          <w:numId w:val="17"/>
        </w:numPr>
        <w:suppressAutoHyphens/>
        <w:spacing w:line="240" w:lineRule="auto"/>
      </w:pPr>
      <w:r>
        <w:t xml:space="preserve">mit </w:t>
      </w:r>
      <w:r w:rsidRPr="008A27FE">
        <w:rPr>
          <w:b/>
        </w:rPr>
        <w:t>„F</w:t>
      </w:r>
      <w:r w:rsidR="00316342" w:rsidRPr="008A27FE">
        <w:rPr>
          <w:b/>
        </w:rPr>
        <w:t>riedliche Revolution“</w:t>
      </w:r>
      <w:r w:rsidR="00316342">
        <w:t xml:space="preserve"> </w:t>
      </w:r>
      <w:r w:rsidR="007A7E18">
        <w:t xml:space="preserve">der gewaltfreie Sturz des </w:t>
      </w:r>
      <w:r w:rsidR="007A7E18" w:rsidRPr="007A7E18">
        <w:t>repressiven Systems</w:t>
      </w:r>
      <w:r w:rsidR="007A7E18">
        <w:t xml:space="preserve"> </w:t>
      </w:r>
      <w:r>
        <w:t xml:space="preserve">in </w:t>
      </w:r>
      <w:r w:rsidR="007A7E18">
        <w:t>der</w:t>
      </w:r>
      <w:r>
        <w:t xml:space="preserve"> DDR gemeint ist. </w:t>
      </w:r>
      <w:r w:rsidR="00F239DB">
        <w:t xml:space="preserve">Ihr </w:t>
      </w:r>
      <w:r w:rsidR="007A7E18">
        <w:t xml:space="preserve">Ziel sei es gewesen </w:t>
      </w:r>
      <w:r w:rsidR="007A7E18" w:rsidRPr="007A7E18">
        <w:t>bürgerliche Freiheiten</w:t>
      </w:r>
      <w:r w:rsidR="007A7E18">
        <w:t xml:space="preserve"> und </w:t>
      </w:r>
      <w:r w:rsidR="007A7E18" w:rsidRPr="007A7E18">
        <w:t xml:space="preserve">demokratische Rechte </w:t>
      </w:r>
      <w:r w:rsidR="007A7E18">
        <w:t xml:space="preserve">durchzusetzen. Den Höhepunkt habe die </w:t>
      </w:r>
      <w:r w:rsidR="007A7E18" w:rsidRPr="007A7E18">
        <w:t>Protestdemonstration am 4. November 1989, die auf dem Berliner Alexanderplatz</w:t>
      </w:r>
      <w:r w:rsidR="007A7E18">
        <w:t xml:space="preserve"> </w:t>
      </w:r>
      <w:r w:rsidR="005E0CF8">
        <w:t xml:space="preserve">stattfand, </w:t>
      </w:r>
      <w:r w:rsidR="007A7E18">
        <w:t xml:space="preserve">gebildet. </w:t>
      </w:r>
      <w:r w:rsidRPr="008A27FE">
        <w:rPr>
          <w:b/>
        </w:rPr>
        <w:t>Die „Robert-Havemann-</w:t>
      </w:r>
      <w:r w:rsidR="001E371D">
        <w:rPr>
          <w:b/>
        </w:rPr>
        <w:t>Gesellschaft</w:t>
      </w:r>
      <w:r w:rsidRPr="008A27FE">
        <w:rPr>
          <w:b/>
        </w:rPr>
        <w:t xml:space="preserve"> verfolgt die Absicht</w:t>
      </w:r>
      <w:r>
        <w:t xml:space="preserve">, den </w:t>
      </w:r>
      <w:r w:rsidR="00F239DB">
        <w:t>S</w:t>
      </w:r>
      <w:r>
        <w:t>ystemzusammenbruch in der DDR als Ergebnis eines bewussten, politisch motivierten Umsturzprozesses zu bewerten, mithin als Revolution. Die Betonung der Gewaltfreiheit macht den historischen Gegenstand im Kontext des Themenkomplexes „Revolution“ zusätzlich spezifisch.</w:t>
      </w:r>
    </w:p>
    <w:p w:rsidR="008C2DC7" w:rsidRDefault="008C2DC7" w:rsidP="003B5A06">
      <w:pPr>
        <w:pStyle w:val="Listenabsatz"/>
        <w:suppressAutoHyphens/>
        <w:spacing w:line="240" w:lineRule="auto"/>
        <w:ind w:left="720"/>
      </w:pPr>
    </w:p>
    <w:p w:rsidR="00316342" w:rsidRDefault="007A7E18" w:rsidP="003B5A06">
      <w:pPr>
        <w:pStyle w:val="Listenabsatz"/>
        <w:numPr>
          <w:ilvl w:val="0"/>
          <w:numId w:val="17"/>
        </w:numPr>
        <w:suppressAutoHyphens/>
        <w:spacing w:line="240" w:lineRule="auto"/>
      </w:pPr>
      <w:r>
        <w:t>u</w:t>
      </w:r>
      <w:r w:rsidR="00316342">
        <w:t xml:space="preserve">nter </w:t>
      </w:r>
      <w:r w:rsidR="008A27FE" w:rsidRPr="008A27FE">
        <w:rPr>
          <w:b/>
        </w:rPr>
        <w:t xml:space="preserve">„Implosion“ </w:t>
      </w:r>
      <w:r w:rsidR="008A27FE" w:rsidRPr="008A27FE">
        <w:t>de</w:t>
      </w:r>
      <w:r w:rsidR="008A27FE">
        <w:t>r</w:t>
      </w:r>
      <w:r w:rsidR="008A27FE" w:rsidRPr="008A27FE">
        <w:t xml:space="preserve"> </w:t>
      </w:r>
      <w:r w:rsidR="00316342" w:rsidRPr="008A27FE">
        <w:rPr>
          <w:b/>
        </w:rPr>
        <w:t>„Zusammenbruch“</w:t>
      </w:r>
      <w:r w:rsidR="00316342">
        <w:t xml:space="preserve"> der DDR zu verstehen sei, da </w:t>
      </w:r>
      <w:r w:rsidR="008A27FE">
        <w:t>die</w:t>
      </w:r>
      <w:r w:rsidR="00316342">
        <w:t xml:space="preserve">se </w:t>
      </w:r>
      <w:r>
        <w:t xml:space="preserve">über Jahrzehnte </w:t>
      </w:r>
      <w:r w:rsidR="00316342">
        <w:t>vo</w:t>
      </w:r>
      <w:r w:rsidR="008A27FE">
        <w:t>n der S</w:t>
      </w:r>
      <w:r w:rsidR="00316342">
        <w:t>owjet</w:t>
      </w:r>
      <w:r w:rsidR="008A27FE">
        <w:t xml:space="preserve">union </w:t>
      </w:r>
      <w:r w:rsidR="00316342">
        <w:t>gestützt worden sei. Die „Implosion“ habe eingesetzt „als die Bajonette der Sowjetunion nicht mehr die DDR schützten“.</w:t>
      </w:r>
      <w:r w:rsidR="008A27FE">
        <w:t xml:space="preserve"> </w:t>
      </w:r>
      <w:r w:rsidR="008A27FE" w:rsidRPr="008A27FE">
        <w:rPr>
          <w:b/>
        </w:rPr>
        <w:t>Eckhard Jesse verfolgt die Absicht</w:t>
      </w:r>
      <w:r w:rsidR="008A27FE">
        <w:t>, den Systemzusammenbruch in der DDR als eine zwangsläufige Folge des Zusammenbruchs der Sowjetunion zu verstehen. Der revolutionäre Aspekt wird damit negiert, eine bewusste revolutionäre Absicht in</w:t>
      </w:r>
      <w:r w:rsidR="001E371D">
        <w:t>f</w:t>
      </w:r>
      <w:r w:rsidR="008A27FE">
        <w:t xml:space="preserve">rage gestellt. Stattdessen versteht Jesse den Systemzusammenbruch in der DDR als einen </w:t>
      </w:r>
      <w:r w:rsidR="008A27FE" w:rsidRPr="008A27FE">
        <w:rPr>
          <w:i/>
        </w:rPr>
        <w:t>eher plötzlichen, aber zwangsläufigen</w:t>
      </w:r>
      <w:r w:rsidR="008A27FE">
        <w:t xml:space="preserve"> Zusammenbruch infolge der maßgebenden Veränderungen in der Sowjetunion.</w:t>
      </w:r>
    </w:p>
    <w:p w:rsidR="008C2DC7" w:rsidRDefault="008C2DC7" w:rsidP="003B5A06">
      <w:pPr>
        <w:pStyle w:val="Listenabsatz"/>
        <w:suppressAutoHyphens/>
        <w:spacing w:line="240" w:lineRule="auto"/>
      </w:pPr>
    </w:p>
    <w:p w:rsidR="008C2DC7" w:rsidRDefault="001E371D" w:rsidP="003B5A06">
      <w:pPr>
        <w:pStyle w:val="Listenabsatz"/>
        <w:numPr>
          <w:ilvl w:val="0"/>
          <w:numId w:val="17"/>
        </w:numPr>
        <w:suppressAutoHyphens/>
        <w:spacing w:line="240" w:lineRule="auto"/>
      </w:pPr>
      <w:r>
        <w:t>b</w:t>
      </w:r>
      <w:r w:rsidR="00983942">
        <w:t xml:space="preserve">ei der Beurteilung des Systemzusammenbruchs in der DDR von einer </w:t>
      </w:r>
      <w:r w:rsidR="00983942" w:rsidRPr="00983942">
        <w:rPr>
          <w:b/>
        </w:rPr>
        <w:t>„Revolution“</w:t>
      </w:r>
      <w:r w:rsidR="00983942">
        <w:t xml:space="preserve"> </w:t>
      </w:r>
      <w:r w:rsidR="008C2DC7">
        <w:t xml:space="preserve">gesprochen werden sollte, </w:t>
      </w:r>
      <w:r w:rsidR="00983942">
        <w:t xml:space="preserve">weil </w:t>
      </w:r>
      <w:r w:rsidR="008C2DC7">
        <w:t>„</w:t>
      </w:r>
      <w:r w:rsidR="00983942">
        <w:t xml:space="preserve">Bürger- und </w:t>
      </w:r>
      <w:r w:rsidR="008C2DC7">
        <w:t xml:space="preserve">Massenbewegungen </w:t>
      </w:r>
      <w:r w:rsidR="00AD4229">
        <w:t>[</w:t>
      </w:r>
      <w:r w:rsidR="008C2DC7">
        <w:t>…</w:t>
      </w:r>
      <w:r w:rsidR="00AD4229">
        <w:t>]</w:t>
      </w:r>
      <w:r w:rsidR="008C2DC7">
        <w:t xml:space="preserve"> neue politische, gesellschaftliche, ökonomische und kulturelle Strukturen“ geschaffen </w:t>
      </w:r>
      <w:r w:rsidR="005E0CF8">
        <w:t>hätt</w:t>
      </w:r>
      <w:r w:rsidR="008C2DC7">
        <w:t>en. Innerhalb weniger Monate seien „alte Strukturen, Werte, Ideen, Kulturen und Herrschaftseliten“ beseitigt worden und deshalb könne der Fach</w:t>
      </w:r>
      <w:r w:rsidR="00983942">
        <w:t xml:space="preserve">begriff </w:t>
      </w:r>
      <w:r w:rsidR="008C2DC7" w:rsidRPr="00983942">
        <w:rPr>
          <w:b/>
        </w:rPr>
        <w:t>„Revolution“</w:t>
      </w:r>
      <w:r w:rsidR="008C2DC7">
        <w:t xml:space="preserve"> </w:t>
      </w:r>
      <w:r w:rsidR="00983942">
        <w:t>verwendet werden</w:t>
      </w:r>
      <w:r w:rsidR="008C2DC7">
        <w:t>.</w:t>
      </w:r>
      <w:r w:rsidR="00983942">
        <w:t xml:space="preserve"> </w:t>
      </w:r>
      <w:r w:rsidR="00983942" w:rsidRPr="00983942">
        <w:rPr>
          <w:b/>
        </w:rPr>
        <w:t xml:space="preserve">Ilko-Sascha </w:t>
      </w:r>
      <w:proofErr w:type="spellStart"/>
      <w:r w:rsidR="00983942" w:rsidRPr="00983942">
        <w:rPr>
          <w:b/>
        </w:rPr>
        <w:t>Kowalczuk</w:t>
      </w:r>
      <w:proofErr w:type="spellEnd"/>
      <w:r w:rsidR="00983942" w:rsidRPr="00983942">
        <w:rPr>
          <w:b/>
        </w:rPr>
        <w:t xml:space="preserve"> </w:t>
      </w:r>
      <w:r>
        <w:rPr>
          <w:b/>
        </w:rPr>
        <w:t xml:space="preserve">bewertet </w:t>
      </w:r>
      <w:r w:rsidR="00983942">
        <w:t>den Systemzusammenbruch in der DDR als einen von der DDR-Gesellschaft bewusst herbeigeführten Umsturz der bestehenden Verhältnisse mit dem Ziel, andere (demokratische) Verhältnisse zu schaffen.</w:t>
      </w:r>
    </w:p>
    <w:p w:rsidR="001A6150" w:rsidRDefault="001A6150" w:rsidP="003B5A06">
      <w:pPr>
        <w:suppressAutoHyphens/>
        <w:spacing w:line="240" w:lineRule="auto"/>
      </w:pPr>
    </w:p>
    <w:p w:rsidR="00980329" w:rsidRDefault="00980329" w:rsidP="003B5A06">
      <w:pPr>
        <w:suppressAutoHyphens/>
        <w:spacing w:line="240" w:lineRule="auto"/>
      </w:pPr>
    </w:p>
    <w:p w:rsidR="006B46F2" w:rsidRDefault="006B46F2" w:rsidP="006B46F2">
      <w:pPr>
        <w:suppressAutoHyphens/>
        <w:spacing w:line="240" w:lineRule="auto"/>
      </w:pPr>
      <w:r w:rsidRPr="006B46F2">
        <w:rPr>
          <w:b/>
        </w:rPr>
        <w:t>3</w:t>
      </w:r>
      <w:r>
        <w:rPr>
          <w:b/>
        </w:rPr>
        <w:t>. Aufgabe</w:t>
      </w:r>
    </w:p>
    <w:p w:rsidR="00622156" w:rsidRDefault="00983942" w:rsidP="006B46F2">
      <w:pPr>
        <w:suppressAutoHyphens/>
        <w:spacing w:line="240" w:lineRule="auto"/>
        <w:ind w:left="708"/>
      </w:pPr>
      <w:r>
        <w:t xml:space="preserve">Die Formulierung kann sprachlich anders </w:t>
      </w:r>
      <w:r w:rsidR="00F239DB">
        <w:t>gefasst werden</w:t>
      </w:r>
      <w:r>
        <w:t>, sollte aber die folgenden inhaltlichen Aspekte berücksichtigen:</w:t>
      </w:r>
    </w:p>
    <w:p w:rsidR="00983942" w:rsidRDefault="00983942" w:rsidP="006B46F2">
      <w:pPr>
        <w:suppressAutoHyphens/>
        <w:spacing w:line="240" w:lineRule="auto"/>
        <w:ind w:left="708"/>
      </w:pPr>
      <w:r>
        <w:t xml:space="preserve">Mit Fachbegriffen </w:t>
      </w:r>
      <w:r w:rsidR="006B46F2">
        <w:t xml:space="preserve">lassen sich </w:t>
      </w:r>
      <w:r>
        <w:t xml:space="preserve">historische Sachverhalte </w:t>
      </w:r>
      <w:r w:rsidR="006B46F2">
        <w:t xml:space="preserve">oder Prozesse </w:t>
      </w:r>
      <w:r>
        <w:t>präziser erklären, differenzierter untersuchen und bewerten. Sie sagen auch etwas über die Absicht der jeweiligen Verfasserin oder des jeweiligen Verfassers aus</w:t>
      </w:r>
      <w:r w:rsidR="006B46F2">
        <w:t>, diesen historischen Sachverhalt oder Prozess einzuordnen oder vorzuprägen</w:t>
      </w:r>
      <w:r>
        <w:t>.</w:t>
      </w:r>
    </w:p>
    <w:p w:rsidR="003B5A06" w:rsidRDefault="003B5A06" w:rsidP="003B5A06">
      <w:pPr>
        <w:suppressAutoHyphens/>
        <w:spacing w:line="240" w:lineRule="auto"/>
        <w:ind w:left="1068"/>
      </w:pPr>
    </w:p>
    <w:p w:rsidR="003B5A06" w:rsidRDefault="003B5A06" w:rsidP="003B5A06">
      <w:pPr>
        <w:suppressAutoHyphens/>
        <w:spacing w:line="240" w:lineRule="auto"/>
        <w:ind w:left="1068"/>
      </w:pPr>
    </w:p>
    <w:p w:rsidR="00EA7666" w:rsidRDefault="00EA7666" w:rsidP="00EA7666">
      <w:pPr>
        <w:suppressAutoHyphens/>
      </w:pPr>
    </w:p>
    <w:p w:rsidR="00EA7666" w:rsidRDefault="00EA7666" w:rsidP="00EA7666">
      <w:pPr>
        <w:suppressAutoHyphens/>
      </w:pPr>
    </w:p>
    <w:p w:rsidR="00EA7666" w:rsidRDefault="00EA7666" w:rsidP="00EA7666">
      <w:pPr>
        <w:suppressAutoHyphens/>
      </w:pPr>
    </w:p>
    <w:p w:rsidR="00EA7666" w:rsidRDefault="00EA7666" w:rsidP="00EA7666">
      <w:pPr>
        <w:suppressAutoHyphens/>
      </w:pPr>
    </w:p>
    <w:p w:rsidR="00EA7666" w:rsidRDefault="00EA7666" w:rsidP="00EA7666">
      <w:pPr>
        <w:suppressAutoHyphens/>
      </w:pPr>
    </w:p>
    <w:p w:rsidR="00EA7666" w:rsidRDefault="00EA7666" w:rsidP="00EA7666">
      <w:pPr>
        <w:suppressAutoHyphens/>
      </w:pPr>
    </w:p>
    <w:p w:rsidR="003B5A06" w:rsidRDefault="00EA7666" w:rsidP="00EA7666">
      <w:pPr>
        <w:suppressAutoHyphens/>
      </w:pPr>
      <w:r w:rsidRPr="00F66D5A">
        <w:rPr>
          <w:i/>
          <w:noProof/>
          <w:sz w:val="20"/>
          <w:szCs w:val="20"/>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t xml:space="preserve"> </w:t>
      </w:r>
      <w:r w:rsidRPr="00EE1EB1">
        <w:t>LISUM</w:t>
      </w:r>
      <w:r>
        <w:t xml:space="preserve"> 2017</w:t>
      </w:r>
    </w:p>
    <w:sectPr w:rsidR="003B5A06"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E5" w:rsidRDefault="007B10E5" w:rsidP="00837EC7">
      <w:pPr>
        <w:spacing w:line="240" w:lineRule="auto"/>
      </w:pPr>
      <w:r>
        <w:separator/>
      </w:r>
    </w:p>
  </w:endnote>
  <w:endnote w:type="continuationSeparator" w:id="0">
    <w:p w:rsidR="007B10E5" w:rsidRDefault="007B10E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483"/>
      <w:docPartObj>
        <w:docPartGallery w:val="Page Numbers (Bottom of Page)"/>
        <w:docPartUnique/>
      </w:docPartObj>
    </w:sdtPr>
    <w:sdtContent>
      <w:sdt>
        <w:sdtPr>
          <w:id w:val="1021177321"/>
          <w:docPartObj>
            <w:docPartGallery w:val="Page Numbers (Top of Page)"/>
            <w:docPartUnique/>
          </w:docPartObj>
        </w:sdtPr>
        <w:sdtContent>
          <w:p w:rsidR="00073617" w:rsidRDefault="00073617">
            <w:pPr>
              <w:pStyle w:val="Fuzeile"/>
              <w:jc w:val="right"/>
            </w:pPr>
            <w:r>
              <w:t xml:space="preserve">Seite </w:t>
            </w:r>
            <w:r w:rsidR="00147A8C">
              <w:rPr>
                <w:b/>
                <w:sz w:val="24"/>
                <w:szCs w:val="24"/>
              </w:rPr>
              <w:fldChar w:fldCharType="begin"/>
            </w:r>
            <w:r>
              <w:rPr>
                <w:b/>
              </w:rPr>
              <w:instrText>PAGE</w:instrText>
            </w:r>
            <w:r w:rsidR="00147A8C">
              <w:rPr>
                <w:b/>
                <w:sz w:val="24"/>
                <w:szCs w:val="24"/>
              </w:rPr>
              <w:fldChar w:fldCharType="separate"/>
            </w:r>
            <w:r w:rsidR="008A2A61">
              <w:rPr>
                <w:b/>
                <w:noProof/>
              </w:rPr>
              <w:t>3</w:t>
            </w:r>
            <w:r w:rsidR="00147A8C">
              <w:rPr>
                <w:b/>
                <w:sz w:val="24"/>
                <w:szCs w:val="24"/>
              </w:rPr>
              <w:fldChar w:fldCharType="end"/>
            </w:r>
            <w:r>
              <w:t xml:space="preserve"> von </w:t>
            </w:r>
            <w:r w:rsidR="00147A8C">
              <w:rPr>
                <w:b/>
                <w:sz w:val="24"/>
                <w:szCs w:val="24"/>
              </w:rPr>
              <w:fldChar w:fldCharType="begin"/>
            </w:r>
            <w:r>
              <w:rPr>
                <w:b/>
              </w:rPr>
              <w:instrText>NUMPAGES</w:instrText>
            </w:r>
            <w:r w:rsidR="00147A8C">
              <w:rPr>
                <w:b/>
                <w:sz w:val="24"/>
                <w:szCs w:val="24"/>
              </w:rPr>
              <w:fldChar w:fldCharType="separate"/>
            </w:r>
            <w:r w:rsidR="008A2A61">
              <w:rPr>
                <w:b/>
                <w:noProof/>
              </w:rPr>
              <w:t>3</w:t>
            </w:r>
            <w:r w:rsidR="00147A8C">
              <w:rPr>
                <w:b/>
                <w:sz w:val="24"/>
                <w:szCs w:val="24"/>
              </w:rPr>
              <w:fldChar w:fldCharType="end"/>
            </w:r>
          </w:p>
        </w:sdtContent>
      </w:sdt>
    </w:sdtContent>
  </w:sdt>
  <w:p w:rsidR="00073617" w:rsidRDefault="00073617" w:rsidP="00937B60">
    <w:pPr>
      <w:pStyle w:val="Fuzeile"/>
      <w:tabs>
        <w:tab w:val="clear" w:pos="453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E5" w:rsidRDefault="007B10E5" w:rsidP="00837EC7">
      <w:pPr>
        <w:spacing w:line="240" w:lineRule="auto"/>
      </w:pPr>
      <w:r>
        <w:separator/>
      </w:r>
    </w:p>
  </w:footnote>
  <w:footnote w:type="continuationSeparator" w:id="0">
    <w:p w:rsidR="007B10E5" w:rsidRDefault="007B10E5"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17" w:rsidRPr="00142DFA" w:rsidRDefault="00073617"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BB624B"/>
    <w:multiLevelType w:val="hybridMultilevel"/>
    <w:tmpl w:val="6772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FA2D4B"/>
    <w:multiLevelType w:val="hybridMultilevel"/>
    <w:tmpl w:val="77AC83DC"/>
    <w:lvl w:ilvl="0" w:tplc="6746713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36D37089"/>
    <w:multiLevelType w:val="hybridMultilevel"/>
    <w:tmpl w:val="59DCA472"/>
    <w:lvl w:ilvl="0" w:tplc="ABA6B50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073502"/>
    <w:multiLevelType w:val="hybridMultilevel"/>
    <w:tmpl w:val="B006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8C4C04"/>
    <w:multiLevelType w:val="hybridMultilevel"/>
    <w:tmpl w:val="C16E225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EA7DAD"/>
    <w:multiLevelType w:val="hybridMultilevel"/>
    <w:tmpl w:val="FB7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8"/>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2"/>
  </w:num>
  <w:num w:numId="12">
    <w:abstractNumId w:val="15"/>
  </w:num>
  <w:num w:numId="13">
    <w:abstractNumId w:val="14"/>
  </w:num>
  <w:num w:numId="14">
    <w:abstractNumId w:val="0"/>
  </w:num>
  <w:num w:numId="15">
    <w:abstractNumId w:val="1"/>
  </w:num>
  <w:num w:numId="16">
    <w:abstractNumId w:val="9"/>
  </w:num>
  <w:num w:numId="17">
    <w:abstractNumId w:val="7"/>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511575"/>
    <w:rsid w:val="000057B8"/>
    <w:rsid w:val="0002390F"/>
    <w:rsid w:val="0004165F"/>
    <w:rsid w:val="000602E5"/>
    <w:rsid w:val="000636E4"/>
    <w:rsid w:val="000723CA"/>
    <w:rsid w:val="00073617"/>
    <w:rsid w:val="000745B7"/>
    <w:rsid w:val="00094320"/>
    <w:rsid w:val="000A2A61"/>
    <w:rsid w:val="000A4B8B"/>
    <w:rsid w:val="000C1872"/>
    <w:rsid w:val="000D2F5A"/>
    <w:rsid w:val="000E10E7"/>
    <w:rsid w:val="000E1B86"/>
    <w:rsid w:val="001167AE"/>
    <w:rsid w:val="001302CE"/>
    <w:rsid w:val="00133562"/>
    <w:rsid w:val="001344ED"/>
    <w:rsid w:val="00136172"/>
    <w:rsid w:val="00142DFA"/>
    <w:rsid w:val="00147A8C"/>
    <w:rsid w:val="001521F6"/>
    <w:rsid w:val="00154C95"/>
    <w:rsid w:val="00155712"/>
    <w:rsid w:val="00155F4E"/>
    <w:rsid w:val="00162503"/>
    <w:rsid w:val="001634E6"/>
    <w:rsid w:val="00163D87"/>
    <w:rsid w:val="0016723E"/>
    <w:rsid w:val="00170C14"/>
    <w:rsid w:val="00185133"/>
    <w:rsid w:val="00193D33"/>
    <w:rsid w:val="001A6150"/>
    <w:rsid w:val="001A71B9"/>
    <w:rsid w:val="001B043E"/>
    <w:rsid w:val="001B70B9"/>
    <w:rsid w:val="001C0613"/>
    <w:rsid w:val="001C3197"/>
    <w:rsid w:val="001C3232"/>
    <w:rsid w:val="001D0653"/>
    <w:rsid w:val="001E371D"/>
    <w:rsid w:val="001F319E"/>
    <w:rsid w:val="00202F49"/>
    <w:rsid w:val="00206E1F"/>
    <w:rsid w:val="002348B8"/>
    <w:rsid w:val="00244EC0"/>
    <w:rsid w:val="00262C2E"/>
    <w:rsid w:val="00264FB0"/>
    <w:rsid w:val="00270DFC"/>
    <w:rsid w:val="00284619"/>
    <w:rsid w:val="0028583D"/>
    <w:rsid w:val="002941C5"/>
    <w:rsid w:val="002A04B8"/>
    <w:rsid w:val="002A2294"/>
    <w:rsid w:val="002A50B3"/>
    <w:rsid w:val="002B14FC"/>
    <w:rsid w:val="002B5E8B"/>
    <w:rsid w:val="002D3F70"/>
    <w:rsid w:val="002D55C9"/>
    <w:rsid w:val="002E1682"/>
    <w:rsid w:val="002E47BA"/>
    <w:rsid w:val="002E5A6A"/>
    <w:rsid w:val="002F3A84"/>
    <w:rsid w:val="002F3C8C"/>
    <w:rsid w:val="00300E1A"/>
    <w:rsid w:val="00315C3D"/>
    <w:rsid w:val="00316342"/>
    <w:rsid w:val="00321743"/>
    <w:rsid w:val="00334567"/>
    <w:rsid w:val="003479B8"/>
    <w:rsid w:val="00362E57"/>
    <w:rsid w:val="00363539"/>
    <w:rsid w:val="00365E0B"/>
    <w:rsid w:val="00381AB2"/>
    <w:rsid w:val="00395D5D"/>
    <w:rsid w:val="003963FB"/>
    <w:rsid w:val="003A1FC0"/>
    <w:rsid w:val="003B5A06"/>
    <w:rsid w:val="003C313B"/>
    <w:rsid w:val="003C72C6"/>
    <w:rsid w:val="003D3306"/>
    <w:rsid w:val="003F4234"/>
    <w:rsid w:val="0040115E"/>
    <w:rsid w:val="004072A0"/>
    <w:rsid w:val="00410F2A"/>
    <w:rsid w:val="00411347"/>
    <w:rsid w:val="00420481"/>
    <w:rsid w:val="00424890"/>
    <w:rsid w:val="00432230"/>
    <w:rsid w:val="00445672"/>
    <w:rsid w:val="0045370E"/>
    <w:rsid w:val="00455FF3"/>
    <w:rsid w:val="00456E94"/>
    <w:rsid w:val="00467ABE"/>
    <w:rsid w:val="0047051C"/>
    <w:rsid w:val="0047310C"/>
    <w:rsid w:val="00473C62"/>
    <w:rsid w:val="004851BE"/>
    <w:rsid w:val="0049671A"/>
    <w:rsid w:val="00496D76"/>
    <w:rsid w:val="004A2744"/>
    <w:rsid w:val="004B7633"/>
    <w:rsid w:val="004C485B"/>
    <w:rsid w:val="004C5D31"/>
    <w:rsid w:val="004F3656"/>
    <w:rsid w:val="005052CB"/>
    <w:rsid w:val="00511575"/>
    <w:rsid w:val="00513D91"/>
    <w:rsid w:val="0052043C"/>
    <w:rsid w:val="0052717A"/>
    <w:rsid w:val="005332B2"/>
    <w:rsid w:val="00536FA5"/>
    <w:rsid w:val="00537A2A"/>
    <w:rsid w:val="005440A2"/>
    <w:rsid w:val="00561823"/>
    <w:rsid w:val="005812BA"/>
    <w:rsid w:val="0059532A"/>
    <w:rsid w:val="005960DF"/>
    <w:rsid w:val="005A440F"/>
    <w:rsid w:val="005B5CEA"/>
    <w:rsid w:val="005C16CC"/>
    <w:rsid w:val="005C38A2"/>
    <w:rsid w:val="005E0CF8"/>
    <w:rsid w:val="005E21A5"/>
    <w:rsid w:val="005F1ACA"/>
    <w:rsid w:val="00622156"/>
    <w:rsid w:val="00624BAE"/>
    <w:rsid w:val="00677337"/>
    <w:rsid w:val="00685B45"/>
    <w:rsid w:val="006949A3"/>
    <w:rsid w:val="006A0836"/>
    <w:rsid w:val="006A22F8"/>
    <w:rsid w:val="006A599E"/>
    <w:rsid w:val="006B46F2"/>
    <w:rsid w:val="006C713F"/>
    <w:rsid w:val="006D084A"/>
    <w:rsid w:val="006D1F6C"/>
    <w:rsid w:val="006D5EEA"/>
    <w:rsid w:val="006D719E"/>
    <w:rsid w:val="006F33FD"/>
    <w:rsid w:val="007024FB"/>
    <w:rsid w:val="007278E4"/>
    <w:rsid w:val="007357B6"/>
    <w:rsid w:val="007621DD"/>
    <w:rsid w:val="007A6983"/>
    <w:rsid w:val="007A7E18"/>
    <w:rsid w:val="007B10E5"/>
    <w:rsid w:val="007C1D1C"/>
    <w:rsid w:val="007C32D6"/>
    <w:rsid w:val="007C3E2C"/>
    <w:rsid w:val="007C6C71"/>
    <w:rsid w:val="007C6E71"/>
    <w:rsid w:val="007D6BA1"/>
    <w:rsid w:val="00800BD6"/>
    <w:rsid w:val="008109AD"/>
    <w:rsid w:val="008119C5"/>
    <w:rsid w:val="00820851"/>
    <w:rsid w:val="00825908"/>
    <w:rsid w:val="00826C8F"/>
    <w:rsid w:val="00837EC7"/>
    <w:rsid w:val="008829F2"/>
    <w:rsid w:val="00885C24"/>
    <w:rsid w:val="008A1768"/>
    <w:rsid w:val="008A27FE"/>
    <w:rsid w:val="008A2A61"/>
    <w:rsid w:val="008A7F60"/>
    <w:rsid w:val="008B1781"/>
    <w:rsid w:val="008B1D49"/>
    <w:rsid w:val="008B6E6E"/>
    <w:rsid w:val="008C2DC7"/>
    <w:rsid w:val="008D77F0"/>
    <w:rsid w:val="008E2ED1"/>
    <w:rsid w:val="008E7D45"/>
    <w:rsid w:val="008F78E6"/>
    <w:rsid w:val="00937B60"/>
    <w:rsid w:val="00954AAB"/>
    <w:rsid w:val="009551DB"/>
    <w:rsid w:val="0095558E"/>
    <w:rsid w:val="00957068"/>
    <w:rsid w:val="0097126A"/>
    <w:rsid w:val="00971722"/>
    <w:rsid w:val="00980329"/>
    <w:rsid w:val="00981B43"/>
    <w:rsid w:val="00983942"/>
    <w:rsid w:val="00992274"/>
    <w:rsid w:val="009A1D85"/>
    <w:rsid w:val="009B046A"/>
    <w:rsid w:val="009B3B01"/>
    <w:rsid w:val="009B6938"/>
    <w:rsid w:val="009D2D5F"/>
    <w:rsid w:val="009F42E4"/>
    <w:rsid w:val="009F53AC"/>
    <w:rsid w:val="00A20523"/>
    <w:rsid w:val="00A26FD6"/>
    <w:rsid w:val="00A366CC"/>
    <w:rsid w:val="00A57E9B"/>
    <w:rsid w:val="00A804F8"/>
    <w:rsid w:val="00A828A1"/>
    <w:rsid w:val="00A973E5"/>
    <w:rsid w:val="00AB509B"/>
    <w:rsid w:val="00AB7F44"/>
    <w:rsid w:val="00AC765D"/>
    <w:rsid w:val="00AD39E6"/>
    <w:rsid w:val="00AD4229"/>
    <w:rsid w:val="00AD4964"/>
    <w:rsid w:val="00AD54F8"/>
    <w:rsid w:val="00AE2D84"/>
    <w:rsid w:val="00AE3A55"/>
    <w:rsid w:val="00AE6DEB"/>
    <w:rsid w:val="00B02A7E"/>
    <w:rsid w:val="00B14E78"/>
    <w:rsid w:val="00B3248C"/>
    <w:rsid w:val="00B4035B"/>
    <w:rsid w:val="00B45AEB"/>
    <w:rsid w:val="00B542E5"/>
    <w:rsid w:val="00B800CD"/>
    <w:rsid w:val="00B83C0F"/>
    <w:rsid w:val="00B8477F"/>
    <w:rsid w:val="00B85AFB"/>
    <w:rsid w:val="00B94BD8"/>
    <w:rsid w:val="00B9655B"/>
    <w:rsid w:val="00BA7994"/>
    <w:rsid w:val="00BB45DB"/>
    <w:rsid w:val="00BC2437"/>
    <w:rsid w:val="00BC35E6"/>
    <w:rsid w:val="00BC763D"/>
    <w:rsid w:val="00BD7E76"/>
    <w:rsid w:val="00BE1914"/>
    <w:rsid w:val="00BE2413"/>
    <w:rsid w:val="00BE3AD8"/>
    <w:rsid w:val="00BE7704"/>
    <w:rsid w:val="00BF22FF"/>
    <w:rsid w:val="00BF2994"/>
    <w:rsid w:val="00BF4880"/>
    <w:rsid w:val="00BF6D1A"/>
    <w:rsid w:val="00C01D4F"/>
    <w:rsid w:val="00C03AD9"/>
    <w:rsid w:val="00C16860"/>
    <w:rsid w:val="00C2005D"/>
    <w:rsid w:val="00C2144F"/>
    <w:rsid w:val="00C219D2"/>
    <w:rsid w:val="00C2632F"/>
    <w:rsid w:val="00C362D6"/>
    <w:rsid w:val="00C47F23"/>
    <w:rsid w:val="00C61307"/>
    <w:rsid w:val="00C6552D"/>
    <w:rsid w:val="00C71E63"/>
    <w:rsid w:val="00C752F4"/>
    <w:rsid w:val="00C80DB7"/>
    <w:rsid w:val="00CB3549"/>
    <w:rsid w:val="00CF1B2E"/>
    <w:rsid w:val="00CF3AD7"/>
    <w:rsid w:val="00D0541C"/>
    <w:rsid w:val="00D0707C"/>
    <w:rsid w:val="00D226DE"/>
    <w:rsid w:val="00D270BC"/>
    <w:rsid w:val="00D277B4"/>
    <w:rsid w:val="00D30719"/>
    <w:rsid w:val="00D317BB"/>
    <w:rsid w:val="00D31C7F"/>
    <w:rsid w:val="00D41BE0"/>
    <w:rsid w:val="00D47E9C"/>
    <w:rsid w:val="00D54C6F"/>
    <w:rsid w:val="00D8081D"/>
    <w:rsid w:val="00D92902"/>
    <w:rsid w:val="00D96E14"/>
    <w:rsid w:val="00DC48D3"/>
    <w:rsid w:val="00DC762A"/>
    <w:rsid w:val="00DD0C30"/>
    <w:rsid w:val="00DD357C"/>
    <w:rsid w:val="00DE40B6"/>
    <w:rsid w:val="00DE467F"/>
    <w:rsid w:val="00DF308F"/>
    <w:rsid w:val="00E16A0E"/>
    <w:rsid w:val="00E16B27"/>
    <w:rsid w:val="00E579BF"/>
    <w:rsid w:val="00E72519"/>
    <w:rsid w:val="00E84ADD"/>
    <w:rsid w:val="00E85DB9"/>
    <w:rsid w:val="00E86529"/>
    <w:rsid w:val="00E924E4"/>
    <w:rsid w:val="00EA1278"/>
    <w:rsid w:val="00EA4734"/>
    <w:rsid w:val="00EA5291"/>
    <w:rsid w:val="00EA7666"/>
    <w:rsid w:val="00EA7922"/>
    <w:rsid w:val="00EB070D"/>
    <w:rsid w:val="00EC1F75"/>
    <w:rsid w:val="00EC51CF"/>
    <w:rsid w:val="00EC68C4"/>
    <w:rsid w:val="00ED0EC3"/>
    <w:rsid w:val="00ED7C1D"/>
    <w:rsid w:val="00EE1EB1"/>
    <w:rsid w:val="00F17F92"/>
    <w:rsid w:val="00F2257F"/>
    <w:rsid w:val="00F239DB"/>
    <w:rsid w:val="00F372D1"/>
    <w:rsid w:val="00F400C5"/>
    <w:rsid w:val="00F501E6"/>
    <w:rsid w:val="00F5187C"/>
    <w:rsid w:val="00F66D5A"/>
    <w:rsid w:val="00F729A8"/>
    <w:rsid w:val="00F86862"/>
    <w:rsid w:val="00F97C8E"/>
    <w:rsid w:val="00FA0BB9"/>
    <w:rsid w:val="00FA1794"/>
    <w:rsid w:val="00FC3144"/>
    <w:rsid w:val="00FC4097"/>
    <w:rsid w:val="00FE1F41"/>
    <w:rsid w:val="00FF0764"/>
    <w:rsid w:val="00FF5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 w:type="character" w:customStyle="1" w:styleId="mw-mmv-title">
    <w:name w:val="mw-mmv-title"/>
    <w:basedOn w:val="Absatz-Standardschriftart"/>
    <w:rsid w:val="001A6150"/>
  </w:style>
  <w:style w:type="character" w:customStyle="1" w:styleId="reference-text">
    <w:name w:val="reference-text"/>
    <w:basedOn w:val="Absatz-Standardschriftart"/>
    <w:rsid w:val="00455FF3"/>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avemann-gesellschaft.de/index.php?id=47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CB6C4-1A19-4347-A37E-43024A55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Foerster</cp:lastModifiedBy>
  <cp:revision>2</cp:revision>
  <cp:lastPrinted>2017-02-02T08:50:00Z</cp:lastPrinted>
  <dcterms:created xsi:type="dcterms:W3CDTF">2017-07-24T10:53:00Z</dcterms:created>
  <dcterms:modified xsi:type="dcterms:W3CDTF">2017-07-24T10:53:00Z</dcterms:modified>
</cp:coreProperties>
</file>