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bookmarkStart w:id="0" w:name="_GoBack"/>
      <w:bookmarkEnd w:id="0"/>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1E04CA">
            <w:pPr>
              <w:suppressAutoHyphens/>
              <w:spacing w:before="120" w:after="60"/>
              <w:rPr>
                <w:b/>
              </w:rPr>
            </w:pPr>
            <w:r w:rsidRPr="008119C5">
              <w:rPr>
                <w:b/>
              </w:rPr>
              <w:t>Fach</w:t>
            </w:r>
          </w:p>
        </w:tc>
        <w:tc>
          <w:tcPr>
            <w:tcW w:w="6433" w:type="dxa"/>
            <w:gridSpan w:val="3"/>
          </w:tcPr>
          <w:p w:rsidR="00B94BD8" w:rsidRPr="00202F49" w:rsidRDefault="000E10E7" w:rsidP="001E04CA">
            <w:pPr>
              <w:suppressAutoHyphens/>
              <w:spacing w:before="120" w:after="60"/>
            </w:pPr>
            <w:r>
              <w:t>Geschichte</w:t>
            </w:r>
          </w:p>
        </w:tc>
      </w:tr>
      <w:tr w:rsidR="00420481" w:rsidRPr="008119C5" w:rsidTr="00C16860">
        <w:tc>
          <w:tcPr>
            <w:tcW w:w="2802" w:type="dxa"/>
          </w:tcPr>
          <w:p w:rsidR="00420481" w:rsidRPr="009B046A" w:rsidRDefault="00420481" w:rsidP="0052568D">
            <w:pPr>
              <w:suppressAutoHyphens/>
              <w:spacing w:before="120" w:after="60"/>
              <w:rPr>
                <w:b/>
              </w:rPr>
            </w:pPr>
            <w:r w:rsidRPr="009B046A">
              <w:rPr>
                <w:b/>
              </w:rPr>
              <w:t>Name der Aufgabe</w:t>
            </w:r>
          </w:p>
        </w:tc>
        <w:tc>
          <w:tcPr>
            <w:tcW w:w="6433" w:type="dxa"/>
            <w:gridSpan w:val="3"/>
          </w:tcPr>
          <w:p w:rsidR="00420481" w:rsidRPr="001E04CA" w:rsidRDefault="001E04CA" w:rsidP="001E04CA">
            <w:pPr>
              <w:suppressAutoHyphens/>
              <w:spacing w:before="120" w:after="60"/>
              <w:rPr>
                <w:color w:val="FF0000"/>
              </w:rPr>
            </w:pPr>
            <w:proofErr w:type="spellStart"/>
            <w:r w:rsidRPr="001E04CA">
              <w:t>Geschichte_Deuten_EF_</w:t>
            </w:r>
            <w:r w:rsidR="00B75AB1" w:rsidRPr="001E04CA">
              <w:t>Politische</w:t>
            </w:r>
            <w:proofErr w:type="spellEnd"/>
            <w:r w:rsidR="00B75AB1" w:rsidRPr="001E04CA">
              <w:t xml:space="preserve"> Revolutionen</w:t>
            </w:r>
          </w:p>
        </w:tc>
      </w:tr>
      <w:tr w:rsidR="00B94BD8" w:rsidRPr="008119C5" w:rsidTr="00C16860">
        <w:tc>
          <w:tcPr>
            <w:tcW w:w="2802" w:type="dxa"/>
          </w:tcPr>
          <w:p w:rsidR="00B94BD8" w:rsidRPr="008119C5" w:rsidRDefault="00B94BD8" w:rsidP="001E04CA">
            <w:pPr>
              <w:suppressAutoHyphens/>
              <w:spacing w:before="120" w:after="60"/>
              <w:rPr>
                <w:b/>
              </w:rPr>
            </w:pPr>
            <w:r w:rsidRPr="008119C5">
              <w:rPr>
                <w:b/>
              </w:rPr>
              <w:t>Kompetenzbereich</w:t>
            </w:r>
          </w:p>
        </w:tc>
        <w:tc>
          <w:tcPr>
            <w:tcW w:w="6433" w:type="dxa"/>
            <w:gridSpan w:val="3"/>
          </w:tcPr>
          <w:p w:rsidR="00B94BD8" w:rsidRPr="008A1768" w:rsidRDefault="001A6150" w:rsidP="00D8185B">
            <w:pPr>
              <w:suppressAutoHyphens/>
              <w:spacing w:before="120" w:after="60"/>
            </w:pPr>
            <w:r>
              <w:t>Deuten</w:t>
            </w:r>
            <w:r w:rsidR="003C72C6">
              <w:t xml:space="preserve"> (Ge-K</w:t>
            </w:r>
            <w:r w:rsidR="00D8185B">
              <w:t>1</w:t>
            </w:r>
            <w:r w:rsidR="000E10E7">
              <w:t>)</w:t>
            </w:r>
          </w:p>
        </w:tc>
      </w:tr>
      <w:tr w:rsidR="00B94BD8" w:rsidRPr="008119C5" w:rsidTr="00C16860">
        <w:tc>
          <w:tcPr>
            <w:tcW w:w="2802" w:type="dxa"/>
          </w:tcPr>
          <w:p w:rsidR="00B94BD8" w:rsidRPr="008119C5" w:rsidRDefault="00B94BD8" w:rsidP="001E04CA">
            <w:pPr>
              <w:tabs>
                <w:tab w:val="left" w:pos="1373"/>
              </w:tabs>
              <w:suppressAutoHyphens/>
              <w:spacing w:before="120" w:after="60"/>
              <w:rPr>
                <w:b/>
              </w:rPr>
            </w:pPr>
            <w:r w:rsidRPr="008119C5">
              <w:rPr>
                <w:b/>
              </w:rPr>
              <w:t>Kompetenz</w:t>
            </w:r>
          </w:p>
        </w:tc>
        <w:tc>
          <w:tcPr>
            <w:tcW w:w="6433" w:type="dxa"/>
            <w:gridSpan w:val="3"/>
          </w:tcPr>
          <w:p w:rsidR="00B94BD8" w:rsidRPr="008A1768" w:rsidRDefault="001A6150" w:rsidP="00D8185B">
            <w:pPr>
              <w:tabs>
                <w:tab w:val="left" w:pos="1373"/>
              </w:tabs>
              <w:suppressAutoHyphens/>
              <w:spacing w:before="120" w:after="60"/>
            </w:pPr>
            <w:r>
              <w:t>Historische Quellen untersuchen</w:t>
            </w:r>
            <w:r w:rsidR="000E10E7">
              <w:t xml:space="preserve"> (Ge-K</w:t>
            </w:r>
            <w:r w:rsidR="00D8185B">
              <w:t>1</w:t>
            </w:r>
            <w:r w:rsidR="000E10E7">
              <w:t>.</w:t>
            </w:r>
            <w:r w:rsidR="000E10E7" w:rsidRPr="00B85AFB">
              <w:t>1)</w:t>
            </w:r>
          </w:p>
        </w:tc>
      </w:tr>
      <w:tr w:rsidR="00B94BD8" w:rsidRPr="008119C5" w:rsidTr="00C16860">
        <w:tc>
          <w:tcPr>
            <w:tcW w:w="2802" w:type="dxa"/>
          </w:tcPr>
          <w:p w:rsidR="00B94BD8" w:rsidRPr="008119C5" w:rsidRDefault="008E2ED1" w:rsidP="001E04CA">
            <w:pPr>
              <w:tabs>
                <w:tab w:val="left" w:pos="1190"/>
              </w:tabs>
              <w:suppressAutoHyphens/>
              <w:spacing w:before="120" w:after="60"/>
              <w:rPr>
                <w:b/>
              </w:rPr>
            </w:pPr>
            <w:r>
              <w:rPr>
                <w:b/>
              </w:rPr>
              <w:t>Niveaus</w:t>
            </w:r>
            <w:r w:rsidR="00B94BD8" w:rsidRPr="008119C5">
              <w:rPr>
                <w:b/>
              </w:rPr>
              <w:t>tufe</w:t>
            </w:r>
            <w:r w:rsidR="00EA4734">
              <w:rPr>
                <w:b/>
              </w:rPr>
              <w:t>(n)</w:t>
            </w:r>
          </w:p>
        </w:tc>
        <w:tc>
          <w:tcPr>
            <w:tcW w:w="6433" w:type="dxa"/>
            <w:gridSpan w:val="3"/>
          </w:tcPr>
          <w:p w:rsidR="00B94BD8" w:rsidRPr="008A1768" w:rsidRDefault="003C72C6" w:rsidP="001E04CA">
            <w:pPr>
              <w:tabs>
                <w:tab w:val="left" w:pos="1190"/>
              </w:tabs>
              <w:suppressAutoHyphens/>
              <w:spacing w:before="120" w:after="60"/>
            </w:pPr>
            <w:r>
              <w:t>E/F</w:t>
            </w:r>
          </w:p>
        </w:tc>
      </w:tr>
      <w:tr w:rsidR="008E2ED1" w:rsidRPr="008119C5" w:rsidTr="00C16860">
        <w:tc>
          <w:tcPr>
            <w:tcW w:w="2802" w:type="dxa"/>
          </w:tcPr>
          <w:p w:rsidR="008E2ED1" w:rsidRDefault="008E2ED1" w:rsidP="001E04CA">
            <w:pPr>
              <w:tabs>
                <w:tab w:val="left" w:pos="1190"/>
              </w:tabs>
              <w:suppressAutoHyphens/>
              <w:spacing w:before="120" w:after="60"/>
              <w:rPr>
                <w:b/>
              </w:rPr>
            </w:pPr>
            <w:r w:rsidRPr="008119C5">
              <w:rPr>
                <w:b/>
              </w:rPr>
              <w:t>Standard</w:t>
            </w:r>
          </w:p>
        </w:tc>
        <w:tc>
          <w:tcPr>
            <w:tcW w:w="6433" w:type="dxa"/>
            <w:gridSpan w:val="3"/>
          </w:tcPr>
          <w:p w:rsidR="008E2ED1" w:rsidRPr="008A1768" w:rsidRDefault="00F729A8" w:rsidP="001E04CA">
            <w:pPr>
              <w:tabs>
                <w:tab w:val="left" w:pos="1190"/>
              </w:tabs>
              <w:suppressAutoHyphens/>
              <w:spacing w:before="120" w:after="60"/>
            </w:pPr>
            <w:r w:rsidRPr="00621E88">
              <w:t xml:space="preserve">Die Schülerinnen und Schüler können </w:t>
            </w:r>
            <w:r w:rsidR="001A6150">
              <w:t>unterschiedliche Perspektiven verschiedener Quellenautorinnen, -autoren auf densel</w:t>
            </w:r>
            <w:r w:rsidR="003C72C6">
              <w:t>be</w:t>
            </w:r>
            <w:r w:rsidR="001A6150">
              <w:t>n h</w:t>
            </w:r>
            <w:r w:rsidR="003C72C6">
              <w:t>istorisch</w:t>
            </w:r>
            <w:r w:rsidR="001A6150">
              <w:t>en Sachverhalt vergleichen und diskutieren</w:t>
            </w:r>
            <w:r w:rsidRPr="00621E88">
              <w:t>.</w:t>
            </w:r>
          </w:p>
        </w:tc>
      </w:tr>
      <w:tr w:rsidR="00B94BD8" w:rsidRPr="008119C5" w:rsidTr="00C16860">
        <w:tc>
          <w:tcPr>
            <w:tcW w:w="2802" w:type="dxa"/>
            <w:tcBorders>
              <w:bottom w:val="single" w:sz="4" w:space="0" w:color="808080" w:themeColor="background1" w:themeShade="80"/>
            </w:tcBorders>
          </w:tcPr>
          <w:p w:rsidR="00B94BD8" w:rsidRPr="008119C5" w:rsidRDefault="00B94BD8" w:rsidP="001E04CA">
            <w:pPr>
              <w:tabs>
                <w:tab w:val="left" w:pos="1190"/>
              </w:tabs>
              <w:suppressAutoHyphens/>
              <w:spacing w:before="120" w:after="60"/>
              <w:rPr>
                <w:b/>
              </w:rPr>
            </w:pPr>
            <w:r>
              <w:rPr>
                <w:b/>
              </w:rPr>
              <w:t>ggf. Themenfeld</w:t>
            </w:r>
          </w:p>
        </w:tc>
        <w:tc>
          <w:tcPr>
            <w:tcW w:w="6433" w:type="dxa"/>
            <w:gridSpan w:val="3"/>
            <w:tcBorders>
              <w:bottom w:val="single" w:sz="4" w:space="0" w:color="808080" w:themeColor="background1" w:themeShade="80"/>
            </w:tcBorders>
          </w:tcPr>
          <w:p w:rsidR="00B75AB1" w:rsidRDefault="00F729A8" w:rsidP="001E04CA">
            <w:pPr>
              <w:tabs>
                <w:tab w:val="left" w:pos="1190"/>
              </w:tabs>
              <w:suppressAutoHyphens/>
              <w:spacing w:before="120" w:after="60"/>
            </w:pPr>
            <w:r w:rsidRPr="00621E88">
              <w:t>3.</w:t>
            </w:r>
            <w:r w:rsidR="001A6150">
              <w:t xml:space="preserve">1 Basismodul 7/8 </w:t>
            </w:r>
            <w:proofErr w:type="spellStart"/>
            <w:r w:rsidR="001A6150">
              <w:t>Epochenvertiefung</w:t>
            </w:r>
            <w:proofErr w:type="spellEnd"/>
            <w:r w:rsidR="001A6150">
              <w:t>:</w:t>
            </w:r>
          </w:p>
          <w:p w:rsidR="00244EC0" w:rsidRPr="00FA1794" w:rsidRDefault="001A6150" w:rsidP="001E04CA">
            <w:pPr>
              <w:tabs>
                <w:tab w:val="left" w:pos="1190"/>
              </w:tabs>
              <w:suppressAutoHyphens/>
              <w:spacing w:before="120" w:after="60"/>
            </w:pPr>
            <w:r>
              <w:t>Zeitalter der Revolutionen (ca. 1750</w:t>
            </w:r>
            <w:r w:rsidR="00950650">
              <w:t xml:space="preserve"> </w:t>
            </w:r>
            <w:r>
              <w:t>-</w:t>
            </w:r>
            <w:r w:rsidR="00950650">
              <w:t xml:space="preserve"> </w:t>
            </w:r>
            <w:r>
              <w:t>ca. 1900)</w:t>
            </w:r>
            <w:r w:rsidR="002A50B3">
              <w:t xml:space="preserve"> </w:t>
            </w:r>
          </w:p>
        </w:tc>
      </w:tr>
      <w:tr w:rsidR="005C16CC" w:rsidRPr="008119C5" w:rsidTr="00C16860">
        <w:tc>
          <w:tcPr>
            <w:tcW w:w="2802" w:type="dxa"/>
            <w:tcBorders>
              <w:bottom w:val="single" w:sz="4" w:space="0" w:color="808080" w:themeColor="background1" w:themeShade="80"/>
            </w:tcBorders>
          </w:tcPr>
          <w:p w:rsidR="005C16CC" w:rsidRDefault="005C16CC" w:rsidP="001E04CA">
            <w:pPr>
              <w:tabs>
                <w:tab w:val="left" w:pos="1190"/>
              </w:tabs>
              <w:suppressAutoHyphens/>
              <w:spacing w:before="120" w:after="60"/>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Default="000E10E7" w:rsidP="001E04CA">
            <w:pPr>
              <w:tabs>
                <w:tab w:val="left" w:pos="1190"/>
              </w:tabs>
              <w:suppressAutoHyphens/>
              <w:spacing w:before="120" w:after="60"/>
            </w:pPr>
            <w:r>
              <w:t>Sprachbildung</w:t>
            </w:r>
          </w:p>
          <w:p w:rsidR="00B75AB1" w:rsidRPr="00202F49" w:rsidRDefault="00B75AB1" w:rsidP="001E04CA">
            <w:pPr>
              <w:tabs>
                <w:tab w:val="left" w:pos="1190"/>
              </w:tabs>
              <w:suppressAutoHyphens/>
              <w:spacing w:before="120" w:after="60"/>
            </w:pPr>
            <w:r>
              <w:t>3.3. Demokratiebildung (ÜT)</w:t>
            </w:r>
          </w:p>
        </w:tc>
      </w:tr>
      <w:tr w:rsidR="005C16CC" w:rsidRPr="008119C5" w:rsidTr="003F49B5">
        <w:trPr>
          <w:trHeight w:val="2948"/>
        </w:trPr>
        <w:tc>
          <w:tcPr>
            <w:tcW w:w="2802" w:type="dxa"/>
            <w:tcBorders>
              <w:bottom w:val="single" w:sz="4" w:space="0" w:color="808080" w:themeColor="background1" w:themeShade="80"/>
            </w:tcBorders>
          </w:tcPr>
          <w:p w:rsidR="005C16CC" w:rsidRDefault="004851BE" w:rsidP="001E04CA">
            <w:pPr>
              <w:tabs>
                <w:tab w:val="left" w:pos="1190"/>
              </w:tabs>
              <w:suppressAutoHyphens/>
              <w:spacing w:before="120" w:after="6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vAlign w:val="center"/>
          </w:tcPr>
          <w:p w:rsidR="00B75AB1" w:rsidRDefault="00FE1F41" w:rsidP="001E04CA">
            <w:pPr>
              <w:tabs>
                <w:tab w:val="left" w:pos="1190"/>
              </w:tabs>
              <w:suppressAutoHyphens/>
              <w:spacing w:before="120" w:after="60" w:line="240" w:lineRule="auto"/>
            </w:pPr>
            <w:r>
              <w:t>1.3.2</w:t>
            </w:r>
            <w:r w:rsidR="00B85AFB">
              <w:t xml:space="preserve"> </w:t>
            </w:r>
            <w:r>
              <w:t>Rezeption/Leseverstehen (SB-K2)</w:t>
            </w:r>
          </w:p>
          <w:p w:rsidR="000E10E7" w:rsidRPr="00B457B0" w:rsidRDefault="000E10E7" w:rsidP="001E04CA">
            <w:pPr>
              <w:tabs>
                <w:tab w:val="left" w:pos="1190"/>
              </w:tabs>
              <w:suppressAutoHyphens/>
              <w:spacing w:before="120" w:after="60" w:line="240" w:lineRule="auto"/>
              <w:rPr>
                <w:rFonts w:cs="Arial"/>
              </w:rPr>
            </w:pPr>
            <w:r>
              <w:t>Texte verstehen und nutz</w:t>
            </w:r>
            <w:r>
              <w:rPr>
                <w:rFonts w:cs="Arial"/>
              </w:rPr>
              <w:t xml:space="preserve">en </w:t>
            </w:r>
            <w:r w:rsidRPr="00B457B0">
              <w:rPr>
                <w:rFonts w:cs="Arial"/>
              </w:rPr>
              <w:t>(SB-K2.1)</w:t>
            </w:r>
          </w:p>
          <w:p w:rsidR="000E10E7" w:rsidRDefault="00AD54F8" w:rsidP="001E04CA">
            <w:pPr>
              <w:tabs>
                <w:tab w:val="left" w:pos="1190"/>
              </w:tabs>
              <w:suppressAutoHyphens/>
              <w:spacing w:before="120" w:after="60" w:line="240" w:lineRule="auto"/>
              <w:rPr>
                <w:rFonts w:cs="Arial"/>
              </w:rPr>
            </w:pPr>
            <w:r>
              <w:rPr>
                <w:rFonts w:cs="Arial"/>
              </w:rPr>
              <w:t>G</w:t>
            </w:r>
            <w:r w:rsidR="000E10E7">
              <w:rPr>
                <w:rFonts w:cs="Arial"/>
              </w:rPr>
              <w:t xml:space="preserve">: </w:t>
            </w:r>
            <w:r>
              <w:rPr>
                <w:rFonts w:cs="Arial"/>
              </w:rPr>
              <w:t>Informationen aus Texten zweckgerichtet nutzen</w:t>
            </w:r>
          </w:p>
          <w:p w:rsidR="00B75AB1" w:rsidRDefault="00FE1F41" w:rsidP="001E04CA">
            <w:pPr>
              <w:tabs>
                <w:tab w:val="left" w:pos="1190"/>
              </w:tabs>
              <w:suppressAutoHyphens/>
              <w:spacing w:before="120" w:after="60" w:line="240" w:lineRule="auto"/>
              <w:rPr>
                <w:rFonts w:cs="Arial"/>
              </w:rPr>
            </w:pPr>
            <w:r>
              <w:rPr>
                <w:rFonts w:cs="Arial"/>
              </w:rPr>
              <w:t>1.3.3 Produktion/Sprechen (SB-K2)</w:t>
            </w:r>
          </w:p>
          <w:p w:rsidR="000E10E7" w:rsidRPr="00B457B0" w:rsidRDefault="000E10E7" w:rsidP="001E04CA">
            <w:pPr>
              <w:tabs>
                <w:tab w:val="left" w:pos="1190"/>
              </w:tabs>
              <w:suppressAutoHyphens/>
              <w:spacing w:before="120" w:after="60" w:line="240" w:lineRule="auto"/>
              <w:rPr>
                <w:rFonts w:cs="Arial"/>
              </w:rPr>
            </w:pPr>
            <w:r>
              <w:rPr>
                <w:rFonts w:cs="Arial"/>
              </w:rPr>
              <w:t xml:space="preserve">Sachverhalte und Informationen zusammenfassend wiedergeben </w:t>
            </w:r>
            <w:r w:rsidRPr="00B457B0">
              <w:rPr>
                <w:rFonts w:cs="Arial"/>
              </w:rPr>
              <w:t>(SB-K3.1)</w:t>
            </w:r>
          </w:p>
          <w:p w:rsidR="000E10E7" w:rsidRDefault="00AD54F8" w:rsidP="001E04CA">
            <w:pPr>
              <w:tabs>
                <w:tab w:val="left" w:pos="1190"/>
              </w:tabs>
              <w:suppressAutoHyphens/>
              <w:spacing w:before="120" w:after="60" w:line="240" w:lineRule="auto"/>
              <w:rPr>
                <w:rFonts w:cs="Arial"/>
              </w:rPr>
            </w:pPr>
            <w:r>
              <w:rPr>
                <w:rFonts w:cs="Arial"/>
              </w:rPr>
              <w:t>G</w:t>
            </w:r>
            <w:r w:rsidR="000E10E7">
              <w:rPr>
                <w:rFonts w:cs="Arial"/>
              </w:rPr>
              <w:t xml:space="preserve">: Informationen aus Texten </w:t>
            </w:r>
            <w:r>
              <w:rPr>
                <w:rFonts w:cs="Arial"/>
              </w:rPr>
              <w:t>kommentierend zusammenfassen</w:t>
            </w:r>
          </w:p>
          <w:p w:rsidR="000E10E7" w:rsidRPr="00B457B0" w:rsidRDefault="000E10E7" w:rsidP="001E04CA">
            <w:pPr>
              <w:tabs>
                <w:tab w:val="left" w:pos="470"/>
              </w:tabs>
              <w:suppressAutoHyphens/>
              <w:spacing w:before="120" w:after="60" w:line="240" w:lineRule="auto"/>
            </w:pPr>
            <w:r w:rsidRPr="009346C4">
              <w:t xml:space="preserve">Überlegungen zu einem Thema darlegen </w:t>
            </w:r>
            <w:r w:rsidRPr="00B457B0">
              <w:t>(SB-K3.2)</w:t>
            </w:r>
          </w:p>
          <w:p w:rsidR="005C16CC" w:rsidRPr="006949A3" w:rsidRDefault="00AD54F8" w:rsidP="001E04CA">
            <w:pPr>
              <w:suppressAutoHyphens/>
              <w:spacing w:before="120" w:after="60" w:line="240" w:lineRule="auto"/>
            </w:pPr>
            <w:r>
              <w:t>G</w:t>
            </w:r>
            <w:r w:rsidR="000E10E7" w:rsidRPr="009346C4">
              <w:t xml:space="preserve">: zu einem Sachverhalt oder zu Texten </w:t>
            </w:r>
            <w:r>
              <w:t>Stellung nehmen</w:t>
            </w:r>
          </w:p>
        </w:tc>
      </w:tr>
      <w:tr w:rsidR="00F5187C" w:rsidRPr="008119C5" w:rsidTr="00142DFA">
        <w:tc>
          <w:tcPr>
            <w:tcW w:w="9235" w:type="dxa"/>
            <w:gridSpan w:val="4"/>
            <w:tcBorders>
              <w:bottom w:val="nil"/>
            </w:tcBorders>
          </w:tcPr>
          <w:p w:rsidR="00F5187C" w:rsidRPr="008119C5" w:rsidRDefault="00F5187C" w:rsidP="001E04CA">
            <w:pPr>
              <w:suppressAutoHyphens/>
              <w:spacing w:before="120" w:after="6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1E04CA">
            <w:pPr>
              <w:tabs>
                <w:tab w:val="left" w:pos="840"/>
              </w:tabs>
              <w:suppressAutoHyphens/>
              <w:spacing w:before="120" w:after="60"/>
              <w:rPr>
                <w:b/>
              </w:rPr>
            </w:pPr>
            <w:r w:rsidRPr="008119C5">
              <w:rPr>
                <w:b/>
              </w:rPr>
              <w:t>offen</w:t>
            </w:r>
            <w:r w:rsidR="00334567" w:rsidRPr="00202F49">
              <w:rPr>
                <w:b/>
                <w:sz w:val="24"/>
                <w:szCs w:val="24"/>
              </w:rPr>
              <w:tab/>
            </w:r>
            <w:r w:rsidR="000E10E7">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1E04CA">
            <w:pPr>
              <w:suppressAutoHyphens/>
              <w:spacing w:before="120" w:after="60"/>
              <w:rPr>
                <w:b/>
              </w:rPr>
            </w:pPr>
            <w:r w:rsidRPr="008119C5">
              <w:rPr>
                <w:b/>
              </w:rPr>
              <w:t>halboffen</w:t>
            </w:r>
            <w:r w:rsidR="00334567">
              <w:rPr>
                <w:b/>
              </w:rPr>
              <w:tab/>
            </w:r>
            <w:r w:rsidR="000E10E7">
              <w:rPr>
                <w:b/>
              </w:rPr>
              <w:t>x</w:t>
            </w:r>
          </w:p>
        </w:tc>
        <w:tc>
          <w:tcPr>
            <w:tcW w:w="3079" w:type="dxa"/>
            <w:tcBorders>
              <w:top w:val="nil"/>
              <w:left w:val="nil"/>
              <w:bottom w:val="single" w:sz="4" w:space="0" w:color="808080" w:themeColor="background1" w:themeShade="80"/>
            </w:tcBorders>
          </w:tcPr>
          <w:p w:rsidR="00F17F92" w:rsidRPr="008119C5" w:rsidRDefault="00F17F92" w:rsidP="001E04CA">
            <w:pPr>
              <w:tabs>
                <w:tab w:val="left" w:pos="1735"/>
              </w:tabs>
              <w:suppressAutoHyphens/>
              <w:spacing w:before="120" w:after="6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1E04CA">
            <w:pPr>
              <w:suppressAutoHyphens/>
              <w:spacing w:before="120" w:after="6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52568D">
            <w:pPr>
              <w:suppressAutoHyphens/>
              <w:spacing w:before="120" w:after="60"/>
              <w:rPr>
                <w:b/>
              </w:rPr>
            </w:pPr>
            <w:r>
              <w:rPr>
                <w:b/>
              </w:rPr>
              <w:t>Datum</w:t>
            </w:r>
            <w:r w:rsidR="002A50B3">
              <w:rPr>
                <w:b/>
              </w:rPr>
              <w:t>:</w:t>
            </w:r>
          </w:p>
        </w:tc>
        <w:tc>
          <w:tcPr>
            <w:tcW w:w="3078" w:type="dxa"/>
            <w:tcBorders>
              <w:top w:val="nil"/>
              <w:left w:val="nil"/>
              <w:bottom w:val="single" w:sz="4" w:space="0" w:color="808080" w:themeColor="background1" w:themeShade="80"/>
              <w:right w:val="nil"/>
            </w:tcBorders>
          </w:tcPr>
          <w:p w:rsidR="00F17F92" w:rsidRPr="008119C5" w:rsidRDefault="00971722" w:rsidP="001E04CA">
            <w:pPr>
              <w:suppressAutoHyphens/>
              <w:spacing w:before="120" w:after="60"/>
              <w:rPr>
                <w:b/>
              </w:rPr>
            </w:pPr>
            <w:r>
              <w:rPr>
                <w:b/>
              </w:rPr>
              <w:t>Jahrgangsstufe</w:t>
            </w:r>
            <w:r w:rsidR="00F17F92" w:rsidRPr="008119C5">
              <w:rPr>
                <w:b/>
              </w:rPr>
              <w:t>:</w:t>
            </w:r>
            <w:r w:rsidR="00F5187C">
              <w:rPr>
                <w:b/>
              </w:rPr>
              <w:t xml:space="preserve"> </w:t>
            </w:r>
            <w:r w:rsidR="001A6150">
              <w:rPr>
                <w:b/>
              </w:rPr>
              <w:t>7/8</w:t>
            </w:r>
          </w:p>
        </w:tc>
        <w:tc>
          <w:tcPr>
            <w:tcW w:w="3079" w:type="dxa"/>
            <w:tcBorders>
              <w:top w:val="nil"/>
              <w:left w:val="nil"/>
              <w:bottom w:val="single" w:sz="4" w:space="0" w:color="808080" w:themeColor="background1" w:themeShade="80"/>
            </w:tcBorders>
          </w:tcPr>
          <w:p w:rsidR="00F17F92" w:rsidRPr="008119C5" w:rsidRDefault="00F17F92" w:rsidP="001E04CA">
            <w:pPr>
              <w:suppressAutoHyphens/>
              <w:spacing w:before="120" w:after="60"/>
              <w:rPr>
                <w:b/>
              </w:rPr>
            </w:pPr>
            <w:r w:rsidRPr="008119C5">
              <w:rPr>
                <w:b/>
              </w:rPr>
              <w:t>Schulart:</w:t>
            </w:r>
            <w:r w:rsidR="00F5187C">
              <w:rPr>
                <w:b/>
              </w:rPr>
              <w:t xml:space="preserve"> </w:t>
            </w:r>
            <w:r w:rsidR="000E10E7">
              <w:rPr>
                <w:b/>
              </w:rPr>
              <w:t>ISS</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1E04CA">
            <w:pPr>
              <w:suppressAutoHyphens/>
              <w:spacing w:before="120" w:after="6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1A6150" w:rsidP="001E04CA">
            <w:pPr>
              <w:suppressAutoHyphens/>
              <w:spacing w:before="120" w:after="60"/>
            </w:pPr>
            <w:r>
              <w:t>USA</w:t>
            </w:r>
            <w:r w:rsidR="003F49B5">
              <w:t>; Kampf gegen Formen menschlicher Unfreiheit</w:t>
            </w:r>
            <w:r w:rsidR="00950650">
              <w:t xml:space="preserve"> (Wahlpflichtfach)</w:t>
            </w:r>
            <w:r w:rsidR="003F49B5">
              <w:t>, Bürgerrechtsbewegung in den USA</w:t>
            </w:r>
            <w:r w:rsidR="00950650">
              <w:t xml:space="preserve"> (Wahlpflichtfach)</w:t>
            </w:r>
          </w:p>
        </w:tc>
      </w:tr>
    </w:tbl>
    <w:p w:rsidR="00B75AB1" w:rsidRDefault="00B75AB1" w:rsidP="001E04CA">
      <w:pPr>
        <w:suppressAutoHyphens/>
        <w:spacing w:line="240" w:lineRule="auto"/>
      </w:pPr>
      <w:r>
        <w:br w:type="page"/>
      </w:r>
    </w:p>
    <w:p w:rsidR="00B75AB1" w:rsidRDefault="00B75AB1" w:rsidP="001E04CA">
      <w:pPr>
        <w:suppressAutoHyphens/>
        <w:spacing w:line="240" w:lineRule="auto"/>
        <w:sectPr w:rsidR="00B75AB1" w:rsidSect="00C2632F">
          <w:headerReference w:type="default" r:id="rId8"/>
          <w:footerReference w:type="default" r:id="rId9"/>
          <w:pgSz w:w="11906" w:h="16838"/>
          <w:pgMar w:top="1417" w:right="1417" w:bottom="1134" w:left="1417" w:header="708" w:footer="708" w:gutter="0"/>
          <w:cols w:space="708"/>
          <w:docGrid w:linePitch="360"/>
        </w:sectPr>
      </w:pPr>
    </w:p>
    <w:p w:rsidR="00B75AB1" w:rsidRDefault="00B75AB1" w:rsidP="001E04CA">
      <w:pPr>
        <w:suppressAutoHyphens/>
        <w:spacing w:before="60" w:after="60"/>
        <w:rPr>
          <w:rFonts w:cs="Arial"/>
          <w:b/>
          <w:sz w:val="24"/>
          <w:szCs w:val="24"/>
        </w:rPr>
      </w:pPr>
      <w:r w:rsidRPr="006250B7">
        <w:rPr>
          <w:rFonts w:cs="Arial"/>
          <w:b/>
          <w:sz w:val="24"/>
          <w:szCs w:val="24"/>
        </w:rPr>
        <w:lastRenderedPageBreak/>
        <w:t>Aufgaben und Material:</w:t>
      </w:r>
    </w:p>
    <w:p w:rsidR="001E04CA" w:rsidRPr="006250B7" w:rsidRDefault="001E04CA" w:rsidP="001E04CA">
      <w:pPr>
        <w:suppressAutoHyphens/>
        <w:spacing w:before="60" w:after="60"/>
        <w:rPr>
          <w:rFonts w:cs="Arial"/>
          <w:b/>
          <w:sz w:val="24"/>
          <w:szCs w:val="24"/>
        </w:rPr>
      </w:pPr>
    </w:p>
    <w:p w:rsidR="00B75AB1" w:rsidRPr="006250B7" w:rsidRDefault="00B75AB1" w:rsidP="001E04CA">
      <w:pPr>
        <w:suppressAutoHyphens/>
        <w:spacing w:line="240" w:lineRule="auto"/>
        <w:rPr>
          <w:rFonts w:cs="Arial"/>
        </w:rPr>
      </w:pPr>
      <w:r w:rsidRPr="006250B7">
        <w:rPr>
          <w:rFonts w:cs="Arial"/>
        </w:rPr>
        <w:t>In Vergangenheit und Gegenwart entwickelten und entwickeln die Menschen immer wieder ganz unterschiedliche Sichtweisen auf historische Ereignisse. Das trifft auch auf eine Auseinandersetzung zwischen britischem Militär und nordamerikanischen Siedlern im Jahre 1770 zu. Zwei Künstler stellten ein und dasselbe historische Ereignis zu unterschiedlichen Zeitpunkten, im Jahre 1770 und 1856, dar.</w:t>
      </w:r>
    </w:p>
    <w:p w:rsidR="00B75AB1" w:rsidRPr="006250B7" w:rsidRDefault="00B75AB1" w:rsidP="001E04CA">
      <w:pPr>
        <w:suppressAutoHyphens/>
        <w:spacing w:line="240" w:lineRule="auto"/>
        <w:rPr>
          <w:rFonts w:cs="Arial"/>
          <w:sz w:val="16"/>
          <w:szCs w:val="16"/>
        </w:rPr>
      </w:pPr>
    </w:p>
    <w:p w:rsidR="00B75AB1" w:rsidRPr="006250B7" w:rsidRDefault="00B75AB1" w:rsidP="001E04CA">
      <w:pPr>
        <w:pStyle w:val="Listenabsatz"/>
        <w:numPr>
          <w:ilvl w:val="0"/>
          <w:numId w:val="17"/>
        </w:numPr>
        <w:suppressAutoHyphens/>
        <w:spacing w:line="240" w:lineRule="auto"/>
        <w:rPr>
          <w:rFonts w:cs="Arial"/>
          <w:b/>
        </w:rPr>
      </w:pPr>
      <w:r w:rsidRPr="006250B7">
        <w:rPr>
          <w:rFonts w:cs="Arial"/>
          <w:b/>
        </w:rPr>
        <w:t>Betrachte beide Darstellungen und vergleiche sie, indem du zwei Gemeinsamkeiten und drei Unterschiede herausarbeitest.</w:t>
      </w:r>
    </w:p>
    <w:p w:rsidR="00B75AB1" w:rsidRDefault="00B75AB1" w:rsidP="001E04CA">
      <w:pPr>
        <w:pStyle w:val="Listenabsatz"/>
        <w:numPr>
          <w:ilvl w:val="0"/>
          <w:numId w:val="17"/>
        </w:numPr>
        <w:suppressAutoHyphens/>
        <w:spacing w:line="240" w:lineRule="auto"/>
        <w:rPr>
          <w:rFonts w:cs="Arial"/>
          <w:b/>
        </w:rPr>
      </w:pPr>
      <w:r w:rsidRPr="006250B7">
        <w:rPr>
          <w:rFonts w:cs="Arial"/>
          <w:b/>
        </w:rPr>
        <w:t>Diskutiere dann die Perspektiven der beiden Autoren auf das historische Ereignis.</w:t>
      </w:r>
    </w:p>
    <w:p w:rsidR="006E48F6" w:rsidRPr="006250B7" w:rsidRDefault="006E48F6" w:rsidP="006E48F6">
      <w:pPr>
        <w:pStyle w:val="Listenabsatz"/>
        <w:suppressAutoHyphens/>
        <w:spacing w:line="240" w:lineRule="auto"/>
        <w:ind w:left="720"/>
        <w:rPr>
          <w:rFonts w:cs="Arial"/>
          <w:b/>
        </w:rPr>
      </w:pPr>
    </w:p>
    <w:p w:rsidR="00B75AB1" w:rsidRPr="006250B7" w:rsidRDefault="00B75AB1" w:rsidP="001E04CA">
      <w:pPr>
        <w:suppressAutoHyphens/>
        <w:spacing w:line="240" w:lineRule="auto"/>
        <w:rPr>
          <w:rFonts w:cs="Arial"/>
          <w:sz w:val="16"/>
          <w:szCs w:val="16"/>
        </w:rPr>
      </w:pPr>
    </w:p>
    <w:p w:rsidR="006E48F6" w:rsidRPr="005C6C76" w:rsidRDefault="006E48F6" w:rsidP="006E48F6">
      <w:pPr>
        <w:suppressAutoHyphens/>
        <w:spacing w:line="240" w:lineRule="auto"/>
        <w:rPr>
          <w:rStyle w:val="mw-mmv-title"/>
          <w:rFonts w:cs="Arial"/>
          <w:b/>
          <w:i/>
          <w:iCs/>
          <w:color w:val="333333"/>
        </w:rPr>
      </w:pPr>
      <w:r w:rsidRPr="005C6C76">
        <w:rPr>
          <w:rFonts w:cs="Arial"/>
          <w:b/>
          <w:i/>
        </w:rPr>
        <w:t>M1 Der amerikanische Unabhängigkeitskämpfer Paul Revere (1734</w:t>
      </w:r>
      <w:r w:rsidR="005C6C76">
        <w:t>–</w:t>
      </w:r>
      <w:r w:rsidRPr="005C6C76">
        <w:rPr>
          <w:rFonts w:cs="Arial"/>
          <w:b/>
          <w:i/>
        </w:rPr>
        <w:t>1818) fertigte drei Wochen nach dem Ereignis im Jahre 1770 den Kupferstich “</w:t>
      </w:r>
      <w:r w:rsidRPr="005C6C76">
        <w:rPr>
          <w:rStyle w:val="mw-mmv-title"/>
          <w:rFonts w:cs="Arial"/>
          <w:b/>
          <w:i/>
          <w:iCs/>
          <w:color w:val="333333"/>
        </w:rPr>
        <w:t xml:space="preserve">The </w:t>
      </w:r>
      <w:proofErr w:type="spellStart"/>
      <w:r w:rsidRPr="005C6C76">
        <w:rPr>
          <w:rStyle w:val="mw-mmv-title"/>
          <w:rFonts w:cs="Arial"/>
          <w:b/>
          <w:i/>
          <w:iCs/>
          <w:color w:val="333333"/>
        </w:rPr>
        <w:t>Bloody</w:t>
      </w:r>
      <w:proofErr w:type="spellEnd"/>
      <w:r w:rsidRPr="005C6C76">
        <w:rPr>
          <w:rStyle w:val="mw-mmv-title"/>
          <w:rFonts w:cs="Arial"/>
          <w:b/>
          <w:i/>
          <w:iCs/>
          <w:color w:val="333333"/>
        </w:rPr>
        <w:t xml:space="preserve"> </w:t>
      </w:r>
      <w:proofErr w:type="spellStart"/>
      <w:r w:rsidRPr="005C6C76">
        <w:rPr>
          <w:rStyle w:val="mw-mmv-title"/>
          <w:rFonts w:cs="Arial"/>
          <w:b/>
          <w:i/>
          <w:iCs/>
          <w:color w:val="333333"/>
        </w:rPr>
        <w:t>Massacre</w:t>
      </w:r>
      <w:proofErr w:type="spellEnd"/>
      <w:r w:rsidRPr="005C6C76">
        <w:rPr>
          <w:rStyle w:val="mw-mmv-title"/>
          <w:rFonts w:cs="Arial"/>
          <w:b/>
          <w:i/>
          <w:iCs/>
          <w:color w:val="333333"/>
        </w:rPr>
        <w:t xml:space="preserve"> </w:t>
      </w:r>
      <w:proofErr w:type="spellStart"/>
      <w:r w:rsidRPr="005C6C76">
        <w:rPr>
          <w:rStyle w:val="mw-mmv-title"/>
          <w:rFonts w:cs="Arial"/>
          <w:b/>
          <w:i/>
          <w:iCs/>
          <w:color w:val="333333"/>
        </w:rPr>
        <w:t>Perpetrated</w:t>
      </w:r>
      <w:proofErr w:type="spellEnd"/>
      <w:r w:rsidRPr="005C6C76">
        <w:rPr>
          <w:rStyle w:val="mw-mmv-title"/>
          <w:rFonts w:cs="Arial"/>
          <w:b/>
          <w:i/>
          <w:iCs/>
          <w:color w:val="333333"/>
        </w:rPr>
        <w:t xml:space="preserve"> in King Street Boston on March 5th, 1770” (Das blutige Massaker verübt auf der King Street in Boston am 5. März 1770) an.</w:t>
      </w:r>
    </w:p>
    <w:p w:rsidR="006E48F6" w:rsidRPr="005C6C76" w:rsidRDefault="006E48F6" w:rsidP="006E48F6">
      <w:pPr>
        <w:suppressAutoHyphens/>
        <w:spacing w:line="240" w:lineRule="auto"/>
        <w:rPr>
          <w:rFonts w:cs="Arial"/>
          <w:b/>
          <w:i/>
        </w:rPr>
      </w:pPr>
      <w:r w:rsidRPr="005C6C76">
        <w:rPr>
          <w:rFonts w:cs="Arial"/>
          <w:b/>
          <w:i/>
          <w:noProof/>
          <w:lang w:eastAsia="de-DE"/>
        </w:rPr>
        <w:drawing>
          <wp:anchor distT="0" distB="0" distL="114300" distR="114300" simplePos="0" relativeHeight="251660288" behindDoc="1" locked="0" layoutInCell="1" allowOverlap="1">
            <wp:simplePos x="0" y="0"/>
            <wp:positionH relativeFrom="column">
              <wp:posOffset>3063875</wp:posOffset>
            </wp:positionH>
            <wp:positionV relativeFrom="paragraph">
              <wp:posOffset>1136650</wp:posOffset>
            </wp:positionV>
            <wp:extent cx="3128010" cy="2455545"/>
            <wp:effectExtent l="19050" t="0" r="0" b="0"/>
            <wp:wrapNone/>
            <wp:docPr id="8" name="Bild 1" descr="https://upload.wikimedia.org/wikipedia/commons/0/03/Boston_massac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3/Boston_massacre2.gif"/>
                    <pic:cNvPicPr>
                      <a:picLocks noChangeAspect="1" noChangeArrowheads="1"/>
                    </pic:cNvPicPr>
                  </pic:nvPicPr>
                  <pic:blipFill>
                    <a:blip r:embed="rId10" cstate="print"/>
                    <a:srcRect/>
                    <a:stretch>
                      <a:fillRect/>
                    </a:stretch>
                  </pic:blipFill>
                  <pic:spPr bwMode="auto">
                    <a:xfrm>
                      <a:off x="0" y="0"/>
                      <a:ext cx="3128010" cy="2455545"/>
                    </a:xfrm>
                    <a:prstGeom prst="rect">
                      <a:avLst/>
                    </a:prstGeom>
                    <a:noFill/>
                    <a:ln w="9525">
                      <a:noFill/>
                      <a:miter lim="800000"/>
                      <a:headEnd/>
                      <a:tailEnd/>
                    </a:ln>
                  </pic:spPr>
                </pic:pic>
              </a:graphicData>
            </a:graphic>
          </wp:anchor>
        </w:drawing>
      </w:r>
      <w:r w:rsidRPr="005C6C76">
        <w:rPr>
          <w:rFonts w:cs="Arial"/>
          <w:b/>
          <w:i/>
        </w:rPr>
        <w:t xml:space="preserve">M2 Der amerikanische Maler James Wells </w:t>
      </w:r>
      <w:proofErr w:type="spellStart"/>
      <w:r w:rsidRPr="005C6C76">
        <w:rPr>
          <w:rFonts w:cs="Arial"/>
          <w:b/>
          <w:i/>
        </w:rPr>
        <w:t>Champney</w:t>
      </w:r>
      <w:proofErr w:type="spellEnd"/>
      <w:r w:rsidRPr="005C6C76">
        <w:rPr>
          <w:rFonts w:cs="Arial"/>
          <w:b/>
          <w:i/>
        </w:rPr>
        <w:t xml:space="preserve"> (1843</w:t>
      </w:r>
      <w:r w:rsidR="005C6C76">
        <w:t>–</w:t>
      </w:r>
      <w:r w:rsidRPr="005C6C76">
        <w:rPr>
          <w:rFonts w:cs="Arial"/>
          <w:b/>
          <w:i/>
        </w:rPr>
        <w:t>1903) nahm als Freiwilliger am Bürgerkrieg (1861</w:t>
      </w:r>
      <w:r w:rsidR="005C6C76">
        <w:t>–</w:t>
      </w:r>
      <w:r w:rsidRPr="005C6C76">
        <w:rPr>
          <w:rFonts w:cs="Arial"/>
          <w:b/>
          <w:i/>
        </w:rPr>
        <w:t xml:space="preserve">1865) teil. Bereits als Jugendlicher schuf er im Jahre 1856 das Bild “Death </w:t>
      </w:r>
      <w:proofErr w:type="spellStart"/>
      <w:r w:rsidRPr="005C6C76">
        <w:rPr>
          <w:rFonts w:cs="Arial"/>
          <w:b/>
          <w:i/>
        </w:rPr>
        <w:t>of</w:t>
      </w:r>
      <w:proofErr w:type="spellEnd"/>
      <w:r w:rsidRPr="005C6C76">
        <w:rPr>
          <w:rFonts w:cs="Arial"/>
          <w:b/>
          <w:i/>
        </w:rPr>
        <w:t xml:space="preserve"> </w:t>
      </w:r>
      <w:proofErr w:type="spellStart"/>
      <w:r w:rsidRPr="005C6C76">
        <w:rPr>
          <w:rFonts w:cs="Arial"/>
          <w:b/>
          <w:i/>
        </w:rPr>
        <w:t>Crispus</w:t>
      </w:r>
      <w:proofErr w:type="spellEnd"/>
      <w:r w:rsidRPr="005C6C76">
        <w:rPr>
          <w:rFonts w:cs="Arial"/>
          <w:b/>
          <w:i/>
        </w:rPr>
        <w:t xml:space="preserve"> Attucks </w:t>
      </w:r>
      <w:proofErr w:type="spellStart"/>
      <w:r w:rsidRPr="005C6C76">
        <w:rPr>
          <w:rFonts w:cs="Arial"/>
          <w:b/>
          <w:i/>
        </w:rPr>
        <w:t>at</w:t>
      </w:r>
      <w:proofErr w:type="spellEnd"/>
      <w:r w:rsidRPr="005C6C76">
        <w:rPr>
          <w:rFonts w:cs="Arial"/>
          <w:b/>
          <w:i/>
        </w:rPr>
        <w:t xml:space="preserve"> Boston </w:t>
      </w:r>
      <w:proofErr w:type="spellStart"/>
      <w:r w:rsidRPr="005C6C76">
        <w:rPr>
          <w:rFonts w:cs="Arial"/>
          <w:b/>
          <w:i/>
        </w:rPr>
        <w:t>Massa</w:t>
      </w:r>
      <w:r w:rsidR="005C6C76">
        <w:rPr>
          <w:rFonts w:cs="Arial"/>
          <w:b/>
          <w:i/>
        </w:rPr>
        <w:t>c</w:t>
      </w:r>
      <w:r w:rsidRPr="005C6C76">
        <w:rPr>
          <w:rFonts w:cs="Arial"/>
          <w:b/>
          <w:i/>
        </w:rPr>
        <w:t>re</w:t>
      </w:r>
      <w:proofErr w:type="spellEnd"/>
      <w:r w:rsidRPr="005C6C76">
        <w:rPr>
          <w:rFonts w:cs="Arial"/>
          <w:b/>
          <w:i/>
        </w:rPr>
        <w:t xml:space="preserve">, 5th March, 1770” (Der Tod von </w:t>
      </w:r>
      <w:proofErr w:type="spellStart"/>
      <w:r w:rsidRPr="005C6C76">
        <w:rPr>
          <w:rFonts w:cs="Arial"/>
          <w:b/>
          <w:i/>
        </w:rPr>
        <w:t>Crispus</w:t>
      </w:r>
      <w:proofErr w:type="spellEnd"/>
      <w:r w:rsidRPr="005C6C76">
        <w:rPr>
          <w:rFonts w:cs="Arial"/>
          <w:b/>
          <w:i/>
        </w:rPr>
        <w:t xml:space="preserve"> Attucks während des </w:t>
      </w:r>
      <w:r w:rsidR="005C6C76">
        <w:rPr>
          <w:rFonts w:cs="Arial"/>
          <w:b/>
          <w:i/>
        </w:rPr>
        <w:t>Massakers von Boston</w:t>
      </w:r>
      <w:r w:rsidRPr="005C6C76">
        <w:rPr>
          <w:rFonts w:cs="Arial"/>
          <w:b/>
          <w:i/>
        </w:rPr>
        <w:t xml:space="preserve"> am 5. März 1770).</w:t>
      </w: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r>
        <w:rPr>
          <w:rFonts w:cs="Arial"/>
          <w:i/>
          <w:noProof/>
          <w:lang w:eastAsia="de-DE"/>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120650</wp:posOffset>
            </wp:positionV>
            <wp:extent cx="2936240" cy="2753360"/>
            <wp:effectExtent l="19050" t="0" r="0" b="0"/>
            <wp:wrapNone/>
            <wp:docPr id="9" name="Bild 4" descr="https://upload.wikimedia.org/wikipedia/commons/thumb/d/df/Boston_Massacre.jpg/800px-Boston_Massa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d/df/Boston_Massacre.jpg/800px-Boston_Massacre.jpg"/>
                    <pic:cNvPicPr>
                      <a:picLocks noChangeAspect="1" noChangeArrowheads="1"/>
                    </pic:cNvPicPr>
                  </pic:nvPicPr>
                  <pic:blipFill>
                    <a:blip r:embed="rId11" cstate="print"/>
                    <a:srcRect b="18919"/>
                    <a:stretch>
                      <a:fillRect/>
                    </a:stretch>
                  </pic:blipFill>
                  <pic:spPr bwMode="auto">
                    <a:xfrm>
                      <a:off x="0" y="0"/>
                      <a:ext cx="2936240" cy="2753360"/>
                    </a:xfrm>
                    <a:prstGeom prst="rect">
                      <a:avLst/>
                    </a:prstGeom>
                    <a:noFill/>
                    <a:ln w="9525">
                      <a:noFill/>
                      <a:miter lim="800000"/>
                      <a:headEnd/>
                      <a:tailEnd/>
                    </a:ln>
                  </pic:spPr>
                </pic:pic>
              </a:graphicData>
            </a:graphic>
          </wp:anchor>
        </w:drawing>
      </w: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Default="006E48F6" w:rsidP="006E48F6">
      <w:pPr>
        <w:suppressAutoHyphens/>
        <w:spacing w:line="240" w:lineRule="auto"/>
        <w:rPr>
          <w:rFonts w:cs="Arial"/>
          <w:i/>
        </w:rPr>
      </w:pPr>
    </w:p>
    <w:p w:rsidR="006E48F6" w:rsidRPr="006E48F6" w:rsidRDefault="006E48F6" w:rsidP="006E48F6">
      <w:pPr>
        <w:suppressAutoHyphens/>
        <w:spacing w:line="240" w:lineRule="auto"/>
        <w:rPr>
          <w:noProof/>
          <w:lang w:eastAsia="de-DE"/>
        </w:rPr>
      </w:pPr>
      <w:r w:rsidRPr="006E48F6">
        <w:rPr>
          <w:b/>
          <w:noProof/>
          <w:lang w:eastAsia="de-DE"/>
        </w:rPr>
        <w:t>M1</w:t>
      </w:r>
      <w:r w:rsidRPr="006E48F6">
        <w:rPr>
          <w:b/>
          <w:noProof/>
          <w:lang w:eastAsia="de-DE"/>
        </w:rPr>
        <w:tab/>
      </w:r>
      <w:r w:rsidRPr="006E48F6">
        <w:rPr>
          <w:b/>
          <w:noProof/>
          <w:lang w:eastAsia="de-DE"/>
        </w:rPr>
        <w:tab/>
      </w:r>
      <w:r w:rsidRPr="006E48F6">
        <w:rPr>
          <w:b/>
          <w:noProof/>
          <w:lang w:eastAsia="de-DE"/>
        </w:rPr>
        <w:tab/>
      </w:r>
      <w:r w:rsidRPr="006E48F6">
        <w:rPr>
          <w:b/>
          <w:noProof/>
          <w:lang w:eastAsia="de-DE"/>
        </w:rPr>
        <w:tab/>
      </w:r>
      <w:r w:rsidRPr="006E48F6">
        <w:rPr>
          <w:b/>
          <w:noProof/>
          <w:lang w:eastAsia="de-DE"/>
        </w:rPr>
        <w:tab/>
      </w:r>
      <w:r w:rsidRPr="006E48F6">
        <w:rPr>
          <w:b/>
          <w:noProof/>
          <w:lang w:eastAsia="de-DE"/>
        </w:rPr>
        <w:tab/>
        <w:t xml:space="preserve">          M2</w:t>
      </w:r>
      <w:r w:rsidRPr="006E48F6">
        <w:rPr>
          <w:noProof/>
          <w:lang w:eastAsia="de-DE"/>
        </w:rPr>
        <w:tab/>
      </w:r>
    </w:p>
    <w:p w:rsidR="006E48F6" w:rsidRPr="006E48F6" w:rsidRDefault="006E48F6" w:rsidP="006E48F6">
      <w:pPr>
        <w:suppressAutoHyphens/>
        <w:spacing w:line="240" w:lineRule="auto"/>
        <w:rPr>
          <w:noProof/>
          <w:sz w:val="20"/>
          <w:szCs w:val="20"/>
          <w:lang w:eastAsia="de-DE"/>
        </w:rPr>
      </w:pPr>
    </w:p>
    <w:p w:rsidR="006E48F6" w:rsidRDefault="006E48F6" w:rsidP="006E48F6">
      <w:pPr>
        <w:suppressAutoHyphens/>
        <w:spacing w:line="240" w:lineRule="auto"/>
        <w:rPr>
          <w:noProof/>
          <w:sz w:val="20"/>
          <w:szCs w:val="20"/>
          <w:lang w:eastAsia="de-DE"/>
        </w:rPr>
      </w:pPr>
    </w:p>
    <w:p w:rsidR="006E48F6" w:rsidRDefault="006E48F6" w:rsidP="006E48F6">
      <w:pPr>
        <w:suppressAutoHyphens/>
        <w:spacing w:line="240" w:lineRule="auto"/>
        <w:rPr>
          <w:noProof/>
          <w:sz w:val="20"/>
          <w:szCs w:val="20"/>
          <w:lang w:eastAsia="de-DE"/>
        </w:rPr>
      </w:pPr>
    </w:p>
    <w:p w:rsidR="006E48F6" w:rsidRDefault="006E48F6" w:rsidP="006E48F6">
      <w:pPr>
        <w:suppressAutoHyphens/>
        <w:spacing w:line="240" w:lineRule="auto"/>
        <w:rPr>
          <w:noProof/>
          <w:sz w:val="20"/>
          <w:szCs w:val="20"/>
          <w:lang w:eastAsia="de-DE"/>
        </w:rPr>
      </w:pPr>
    </w:p>
    <w:p w:rsidR="006E48F6" w:rsidRDefault="006E48F6" w:rsidP="006E48F6">
      <w:pPr>
        <w:suppressAutoHyphens/>
        <w:spacing w:line="240" w:lineRule="auto"/>
        <w:rPr>
          <w:noProof/>
          <w:sz w:val="20"/>
          <w:szCs w:val="20"/>
          <w:lang w:eastAsia="de-DE"/>
        </w:rPr>
      </w:pPr>
    </w:p>
    <w:p w:rsidR="006E48F6" w:rsidRDefault="006E48F6" w:rsidP="006E48F6">
      <w:pPr>
        <w:suppressAutoHyphens/>
        <w:spacing w:line="240" w:lineRule="auto"/>
        <w:rPr>
          <w:noProof/>
          <w:sz w:val="20"/>
          <w:szCs w:val="20"/>
          <w:lang w:eastAsia="de-DE"/>
        </w:rPr>
      </w:pPr>
    </w:p>
    <w:p w:rsidR="006E48F6" w:rsidRPr="006E48F6" w:rsidRDefault="006E48F6" w:rsidP="006E48F6">
      <w:pPr>
        <w:suppressAutoHyphens/>
        <w:spacing w:line="240" w:lineRule="auto"/>
        <w:rPr>
          <w:noProof/>
          <w:sz w:val="20"/>
          <w:szCs w:val="20"/>
          <w:lang w:eastAsia="de-DE"/>
        </w:rPr>
      </w:pPr>
    </w:p>
    <w:p w:rsidR="006E48F6" w:rsidRPr="006E48F6" w:rsidRDefault="006E48F6" w:rsidP="006E48F6">
      <w:pPr>
        <w:suppressAutoHyphens/>
        <w:spacing w:line="240" w:lineRule="auto"/>
        <w:rPr>
          <w:noProof/>
          <w:sz w:val="20"/>
          <w:szCs w:val="20"/>
          <w:lang w:eastAsia="de-DE"/>
        </w:rPr>
      </w:pPr>
    </w:p>
    <w:p w:rsidR="006E48F6" w:rsidRPr="006E48F6" w:rsidRDefault="006E48F6" w:rsidP="006E48F6">
      <w:r w:rsidRPr="00F66D5A">
        <w:rPr>
          <w:i/>
          <w:noProof/>
          <w:sz w:val="20"/>
          <w:szCs w:val="20"/>
          <w:lang w:eastAsia="de-DE"/>
        </w:rPr>
        <w:drawing>
          <wp:inline distT="0" distB="0" distL="0" distR="0">
            <wp:extent cx="1227411" cy="429442"/>
            <wp:effectExtent l="19050" t="0" r="0" b="0"/>
            <wp:docPr id="10"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2" cstate="print"/>
                    <a:stretch>
                      <a:fillRect/>
                    </a:stretch>
                  </pic:blipFill>
                  <pic:spPr>
                    <a:xfrm>
                      <a:off x="0" y="0"/>
                      <a:ext cx="1227411" cy="429442"/>
                    </a:xfrm>
                    <a:prstGeom prst="rect">
                      <a:avLst/>
                    </a:prstGeom>
                  </pic:spPr>
                </pic:pic>
              </a:graphicData>
            </a:graphic>
          </wp:inline>
        </w:drawing>
      </w:r>
      <w:r w:rsidRPr="006E48F6">
        <w:t xml:space="preserve"> LISUM 2017</w:t>
      </w:r>
    </w:p>
    <w:p w:rsidR="006E48F6" w:rsidRPr="006E48F6" w:rsidRDefault="006E48F6" w:rsidP="006E48F6">
      <w:pPr>
        <w:rPr>
          <w:color w:val="000000" w:themeColor="text1"/>
          <w:sz w:val="16"/>
          <w:szCs w:val="16"/>
        </w:rPr>
      </w:pPr>
      <w:r w:rsidRPr="006E48F6">
        <w:rPr>
          <w:color w:val="000000" w:themeColor="text1"/>
          <w:sz w:val="16"/>
          <w:szCs w:val="16"/>
        </w:rPr>
        <w:t xml:space="preserve">M1: </w:t>
      </w:r>
      <w:hyperlink r:id="rId13" w:anchor="/media/File:Boston_Massacre.jpg" w:history="1">
        <w:r w:rsidRPr="006E48F6">
          <w:rPr>
            <w:rStyle w:val="Hyperlink"/>
            <w:color w:val="000000" w:themeColor="text1"/>
            <w:sz w:val="16"/>
            <w:szCs w:val="16"/>
            <w:u w:val="none"/>
          </w:rPr>
          <w:t>https://de.wikipedia.org/wiki/Massaker_von_Boston#/media/File:Boston_Massacre.jpg</w:t>
        </w:r>
      </w:hyperlink>
      <w:r w:rsidRPr="006E48F6">
        <w:rPr>
          <w:color w:val="000000" w:themeColor="text1"/>
          <w:sz w:val="16"/>
          <w:szCs w:val="16"/>
        </w:rPr>
        <w:t xml:space="preserve"> (Zugriff 22.04.2016) Public Domain</w:t>
      </w:r>
    </w:p>
    <w:p w:rsidR="006E48F6" w:rsidRPr="006E48F6" w:rsidRDefault="006E48F6" w:rsidP="006E48F6">
      <w:pPr>
        <w:rPr>
          <w:color w:val="000000" w:themeColor="text1"/>
          <w:sz w:val="16"/>
          <w:szCs w:val="16"/>
          <w:lang w:val="en-US"/>
        </w:rPr>
      </w:pPr>
      <w:r w:rsidRPr="006E48F6">
        <w:rPr>
          <w:color w:val="000000" w:themeColor="text1"/>
          <w:sz w:val="16"/>
          <w:szCs w:val="16"/>
          <w:lang w:val="en-US"/>
        </w:rPr>
        <w:t xml:space="preserve">M2: </w:t>
      </w:r>
      <w:hyperlink r:id="rId14" w:anchor="/media/File:Boston_massacre2.gif" w:history="1">
        <w:r w:rsidRPr="006E48F6">
          <w:rPr>
            <w:rStyle w:val="Hyperlink"/>
            <w:color w:val="000000" w:themeColor="text1"/>
            <w:sz w:val="16"/>
            <w:szCs w:val="16"/>
            <w:u w:val="none"/>
            <w:lang w:val="en-US"/>
          </w:rPr>
          <w:t>https://de.wikipedia.org/wiki/Massaker_von_Boston#/media/File:Boston_massacre2.gif</w:t>
        </w:r>
      </w:hyperlink>
      <w:r w:rsidRPr="006E48F6">
        <w:rPr>
          <w:color w:val="000000" w:themeColor="text1"/>
          <w:sz w:val="16"/>
          <w:szCs w:val="16"/>
          <w:lang w:val="en-US"/>
        </w:rPr>
        <w:t xml:space="preserve"> (</w:t>
      </w:r>
      <w:proofErr w:type="spellStart"/>
      <w:r w:rsidRPr="006E48F6">
        <w:rPr>
          <w:color w:val="000000" w:themeColor="text1"/>
          <w:sz w:val="16"/>
          <w:szCs w:val="16"/>
          <w:lang w:val="en-US"/>
        </w:rPr>
        <w:t>Zugriff</w:t>
      </w:r>
      <w:proofErr w:type="spellEnd"/>
      <w:r w:rsidRPr="006E48F6">
        <w:rPr>
          <w:color w:val="000000" w:themeColor="text1"/>
          <w:sz w:val="16"/>
          <w:szCs w:val="16"/>
          <w:lang w:val="en-US"/>
        </w:rPr>
        <w:t xml:space="preserve"> am 22.04.2016)</w:t>
      </w:r>
      <w:r w:rsidR="0052568D">
        <w:rPr>
          <w:color w:val="000000" w:themeColor="text1"/>
          <w:sz w:val="16"/>
          <w:szCs w:val="16"/>
          <w:lang w:val="en-US"/>
        </w:rPr>
        <w:t xml:space="preserve"> </w:t>
      </w:r>
      <w:r w:rsidRPr="006E48F6">
        <w:rPr>
          <w:color w:val="000000" w:themeColor="text1"/>
          <w:sz w:val="16"/>
          <w:szCs w:val="16"/>
          <w:lang w:val="en-US"/>
        </w:rPr>
        <w:t>Public Domain</w:t>
      </w:r>
    </w:p>
    <w:p w:rsidR="00BA7994" w:rsidRDefault="00BA7994" w:rsidP="001E04CA">
      <w:pPr>
        <w:suppressAutoHyphens/>
        <w:rPr>
          <w:b/>
          <w:sz w:val="24"/>
          <w:szCs w:val="24"/>
        </w:rPr>
      </w:pPr>
      <w:r w:rsidRPr="00BA7994">
        <w:rPr>
          <w:b/>
          <w:sz w:val="24"/>
          <w:szCs w:val="24"/>
        </w:rPr>
        <w:lastRenderedPageBreak/>
        <w:t>Erwartungshorizont:</w:t>
      </w:r>
    </w:p>
    <w:p w:rsidR="00AE42FE" w:rsidRDefault="00AE42FE" w:rsidP="001E04CA">
      <w:pPr>
        <w:suppressAutoHyphens/>
        <w:rPr>
          <w:b/>
          <w:sz w:val="24"/>
          <w:szCs w:val="24"/>
        </w:rPr>
      </w:pPr>
    </w:p>
    <w:p w:rsidR="002B5E8B" w:rsidRDefault="00AE42FE" w:rsidP="001E04CA">
      <w:pPr>
        <w:suppressAutoHyphens/>
        <w:spacing w:line="240" w:lineRule="auto"/>
        <w:rPr>
          <w:b/>
        </w:rPr>
      </w:pPr>
      <w:r w:rsidRPr="001E04CA">
        <w:rPr>
          <w:b/>
        </w:rPr>
        <w:t>Aufgabe 1</w:t>
      </w:r>
    </w:p>
    <w:p w:rsidR="001E04CA" w:rsidRPr="001E04CA" w:rsidRDefault="001E04CA" w:rsidP="001E04CA">
      <w:pPr>
        <w:suppressAutoHyphens/>
        <w:spacing w:line="240" w:lineRule="auto"/>
        <w:rPr>
          <w:b/>
        </w:rPr>
      </w:pPr>
    </w:p>
    <w:p w:rsidR="00456E94" w:rsidRPr="001E04CA" w:rsidRDefault="00456E94" w:rsidP="001E04CA">
      <w:pPr>
        <w:suppressAutoHyphens/>
        <w:spacing w:line="240" w:lineRule="auto"/>
        <w:rPr>
          <w:b/>
        </w:rPr>
      </w:pPr>
      <w:r w:rsidRPr="001E04CA">
        <w:t>Beim Vergleich beider Darstellungen des Massakers</w:t>
      </w:r>
      <w:r w:rsidR="005C6C76">
        <w:t xml:space="preserve"> von Boston</w:t>
      </w:r>
      <w:r w:rsidRPr="001E04CA">
        <w:t xml:space="preserve"> </w:t>
      </w:r>
      <w:r w:rsidR="005C6C76">
        <w:t xml:space="preserve">im Jahre </w:t>
      </w:r>
      <w:r w:rsidRPr="001E04CA">
        <w:t xml:space="preserve">1770 </w:t>
      </w:r>
      <w:proofErr w:type="gramStart"/>
      <w:r w:rsidR="006250B7" w:rsidRPr="001E04CA">
        <w:t>arbeiten</w:t>
      </w:r>
      <w:proofErr w:type="gramEnd"/>
      <w:r w:rsidR="006250B7" w:rsidRPr="001E04CA">
        <w:t xml:space="preserve"> </w:t>
      </w:r>
      <w:r w:rsidRPr="001E04CA">
        <w:t>d</w:t>
      </w:r>
      <w:r w:rsidR="006250B7" w:rsidRPr="001E04CA">
        <w:t>i</w:t>
      </w:r>
      <w:r w:rsidRPr="001E04CA">
        <w:t>e Schülerinnen und Schülern heraus, dass nur wenige Gemeinsamkeiten, aber viele Unterschiede festzustellen sind. Im Einzelnen sollte erkannt werden:</w:t>
      </w:r>
      <w:r w:rsidRPr="001E04CA">
        <w:rPr>
          <w:b/>
        </w:rPr>
        <w:t xml:space="preserve"> </w:t>
      </w:r>
    </w:p>
    <w:p w:rsidR="00456E94" w:rsidRPr="001E04CA" w:rsidRDefault="00456E94" w:rsidP="001E04CA">
      <w:pPr>
        <w:suppressAutoHyphens/>
        <w:spacing w:line="240" w:lineRule="auto"/>
        <w:rPr>
          <w:b/>
        </w:rPr>
      </w:pPr>
    </w:p>
    <w:tbl>
      <w:tblPr>
        <w:tblStyle w:val="Tabellengitternetz"/>
        <w:tblW w:w="0" w:type="auto"/>
        <w:tblLook w:val="04A0"/>
      </w:tblPr>
      <w:tblGrid>
        <w:gridCol w:w="2100"/>
        <w:gridCol w:w="7110"/>
      </w:tblGrid>
      <w:tr w:rsidR="00D8081D" w:rsidRPr="001E04CA" w:rsidTr="00AE42FE">
        <w:tc>
          <w:tcPr>
            <w:tcW w:w="2100" w:type="dxa"/>
          </w:tcPr>
          <w:p w:rsidR="00D8081D" w:rsidRPr="001E04CA" w:rsidRDefault="00D8081D" w:rsidP="001E04CA">
            <w:pPr>
              <w:suppressAutoHyphens/>
              <w:spacing w:line="240" w:lineRule="auto"/>
              <w:rPr>
                <w:b/>
              </w:rPr>
            </w:pPr>
            <w:r w:rsidRPr="001E04CA">
              <w:rPr>
                <w:b/>
              </w:rPr>
              <w:t>Gemeinsamkeiten</w:t>
            </w:r>
          </w:p>
        </w:tc>
        <w:tc>
          <w:tcPr>
            <w:tcW w:w="7110" w:type="dxa"/>
          </w:tcPr>
          <w:p w:rsidR="00193D33" w:rsidRPr="001E04CA" w:rsidRDefault="00193D33" w:rsidP="001E04CA">
            <w:pPr>
              <w:pStyle w:val="Listenabsatz"/>
              <w:numPr>
                <w:ilvl w:val="0"/>
                <w:numId w:val="15"/>
              </w:numPr>
              <w:suppressAutoHyphens/>
              <w:spacing w:line="240" w:lineRule="auto"/>
              <w:ind w:left="360"/>
            </w:pPr>
            <w:r w:rsidRPr="001E04CA">
              <w:t>Quellengattung (Bilddokument)</w:t>
            </w:r>
          </w:p>
          <w:p w:rsidR="00193D33" w:rsidRPr="001E04CA" w:rsidRDefault="00193D33" w:rsidP="001E04CA">
            <w:pPr>
              <w:pStyle w:val="Listenabsatz"/>
              <w:numPr>
                <w:ilvl w:val="0"/>
                <w:numId w:val="15"/>
              </w:numPr>
              <w:suppressAutoHyphens/>
              <w:spacing w:line="240" w:lineRule="auto"/>
              <w:ind w:left="360"/>
            </w:pPr>
            <w:r w:rsidRPr="001E04CA">
              <w:t xml:space="preserve">Herkunftsland der Autoren </w:t>
            </w:r>
            <w:r w:rsidR="002B5E8B" w:rsidRPr="001E04CA">
              <w:t xml:space="preserve">britische Kolonien in Nordamerika bzw. die späteren </w:t>
            </w:r>
            <w:r w:rsidR="006250B7" w:rsidRPr="001E04CA">
              <w:t>USA</w:t>
            </w:r>
          </w:p>
          <w:p w:rsidR="002B5E8B" w:rsidRPr="001E04CA" w:rsidRDefault="006250B7" w:rsidP="001E04CA">
            <w:pPr>
              <w:pStyle w:val="Listenabsatz"/>
              <w:numPr>
                <w:ilvl w:val="0"/>
                <w:numId w:val="15"/>
              </w:numPr>
              <w:suppressAutoHyphens/>
              <w:spacing w:line="240" w:lineRule="auto"/>
              <w:ind w:left="360"/>
            </w:pPr>
            <w:r w:rsidRPr="001E04CA">
              <w:t xml:space="preserve">derselbe </w:t>
            </w:r>
            <w:r w:rsidR="002B5E8B" w:rsidRPr="001E04CA">
              <w:t>Ort der Handlung</w:t>
            </w:r>
            <w:r w:rsidRPr="001E04CA">
              <w:t xml:space="preserve">: </w:t>
            </w:r>
            <w:r w:rsidR="002B5E8B" w:rsidRPr="001E04CA">
              <w:t>King Street in Boston</w:t>
            </w:r>
          </w:p>
          <w:p w:rsidR="006250B7" w:rsidRPr="001E04CA" w:rsidRDefault="006250B7" w:rsidP="001E04CA">
            <w:pPr>
              <w:pStyle w:val="Listenabsatz"/>
              <w:numPr>
                <w:ilvl w:val="0"/>
                <w:numId w:val="15"/>
              </w:numPr>
              <w:suppressAutoHyphens/>
              <w:spacing w:line="240" w:lineRule="auto"/>
              <w:ind w:left="360"/>
            </w:pPr>
            <w:r w:rsidRPr="001E04CA">
              <w:t>Aussage- und Gestaltungsaspekte (z.</w:t>
            </w:r>
            <w:r w:rsidR="005C6C76">
              <w:t xml:space="preserve"> </w:t>
            </w:r>
            <w:r w:rsidRPr="001E04CA">
              <w:t>B.):</w:t>
            </w:r>
          </w:p>
          <w:p w:rsidR="00D8081D" w:rsidRPr="001E04CA" w:rsidRDefault="00D8081D" w:rsidP="001E04CA">
            <w:pPr>
              <w:pStyle w:val="Listenabsatz"/>
              <w:numPr>
                <w:ilvl w:val="0"/>
                <w:numId w:val="18"/>
              </w:numPr>
              <w:suppressAutoHyphens/>
              <w:spacing w:line="240" w:lineRule="auto"/>
              <w:ind w:left="708"/>
            </w:pPr>
            <w:r w:rsidRPr="001E04CA">
              <w:t>Erschießung von Zivilist</w:t>
            </w:r>
            <w:r w:rsidR="006250B7" w:rsidRPr="001E04CA">
              <w:t>innen und Zivilist</w:t>
            </w:r>
            <w:r w:rsidRPr="001E04CA">
              <w:t xml:space="preserve">en </w:t>
            </w:r>
            <w:r w:rsidR="00193D33" w:rsidRPr="001E04CA">
              <w:t>durch britisches Militär</w:t>
            </w:r>
            <w:r w:rsidR="006250B7" w:rsidRPr="001E04CA">
              <w:t>,</w:t>
            </w:r>
            <w:r w:rsidR="00193D33" w:rsidRPr="001E04CA">
              <w:t xml:space="preserve"> </w:t>
            </w:r>
          </w:p>
          <w:p w:rsidR="00B14E78" w:rsidRPr="001E04CA" w:rsidRDefault="002B5E8B" w:rsidP="001E04CA">
            <w:pPr>
              <w:pStyle w:val="Listenabsatz"/>
              <w:numPr>
                <w:ilvl w:val="0"/>
                <w:numId w:val="18"/>
              </w:numPr>
              <w:suppressAutoHyphens/>
              <w:spacing w:line="240" w:lineRule="auto"/>
              <w:ind w:left="708"/>
            </w:pPr>
            <w:r w:rsidRPr="001E04CA">
              <w:t>ungeschützte</w:t>
            </w:r>
            <w:r w:rsidR="00B14E78" w:rsidRPr="001E04CA">
              <w:t xml:space="preserve"> Siedler</w:t>
            </w:r>
            <w:r w:rsidR="006250B7" w:rsidRPr="001E04CA">
              <w:t>innen und Siedler</w:t>
            </w:r>
            <w:r w:rsidR="00315C3D" w:rsidRPr="001E04CA">
              <w:t xml:space="preserve"> am linken Bildrand</w:t>
            </w:r>
          </w:p>
        </w:tc>
      </w:tr>
      <w:tr w:rsidR="00D8081D" w:rsidRPr="001E04CA" w:rsidTr="00AE42FE">
        <w:tc>
          <w:tcPr>
            <w:tcW w:w="2100" w:type="dxa"/>
          </w:tcPr>
          <w:p w:rsidR="00D8081D" w:rsidRPr="001E04CA" w:rsidRDefault="00D8081D" w:rsidP="001E04CA">
            <w:pPr>
              <w:suppressAutoHyphens/>
              <w:spacing w:line="240" w:lineRule="auto"/>
              <w:rPr>
                <w:b/>
              </w:rPr>
            </w:pPr>
            <w:r w:rsidRPr="001E04CA">
              <w:rPr>
                <w:b/>
              </w:rPr>
              <w:t>Unterschiede</w:t>
            </w:r>
          </w:p>
        </w:tc>
        <w:tc>
          <w:tcPr>
            <w:tcW w:w="7110" w:type="dxa"/>
          </w:tcPr>
          <w:p w:rsidR="00D8081D" w:rsidRPr="001E04CA" w:rsidRDefault="00D8081D" w:rsidP="001E04CA">
            <w:pPr>
              <w:pStyle w:val="Listenabsatz"/>
              <w:numPr>
                <w:ilvl w:val="0"/>
                <w:numId w:val="16"/>
              </w:numPr>
              <w:suppressAutoHyphens/>
              <w:spacing w:line="240" w:lineRule="auto"/>
            </w:pPr>
            <w:r w:rsidRPr="001E04CA">
              <w:t>Erscheinungsjahr</w:t>
            </w:r>
            <w:r w:rsidR="006250B7" w:rsidRPr="001E04CA">
              <w:t xml:space="preserve">: </w:t>
            </w:r>
            <w:r w:rsidR="00685B45" w:rsidRPr="001E04CA">
              <w:rPr>
                <w:b/>
              </w:rPr>
              <w:t>M1</w:t>
            </w:r>
            <w:r w:rsidR="006250B7" w:rsidRPr="001E04CA">
              <w:rPr>
                <w:b/>
              </w:rPr>
              <w:t>:</w:t>
            </w:r>
            <w:r w:rsidR="00685B45" w:rsidRPr="001E04CA">
              <w:t xml:space="preserve"> </w:t>
            </w:r>
            <w:r w:rsidRPr="001E04CA">
              <w:t>1770</w:t>
            </w:r>
            <w:r w:rsidR="006250B7" w:rsidRPr="001E04CA">
              <w:t xml:space="preserve">, </w:t>
            </w:r>
            <w:r w:rsidR="00685B45" w:rsidRPr="001E04CA">
              <w:rPr>
                <w:b/>
              </w:rPr>
              <w:t>M2:</w:t>
            </w:r>
            <w:r w:rsidR="00685B45" w:rsidRPr="001E04CA">
              <w:t xml:space="preserve"> </w:t>
            </w:r>
            <w:r w:rsidR="006250B7" w:rsidRPr="001E04CA">
              <w:t>1856</w:t>
            </w:r>
          </w:p>
          <w:p w:rsidR="00D8081D" w:rsidRPr="001E04CA" w:rsidRDefault="00D8081D" w:rsidP="001E04CA">
            <w:pPr>
              <w:pStyle w:val="Listenabsatz"/>
              <w:numPr>
                <w:ilvl w:val="0"/>
                <w:numId w:val="16"/>
              </w:numPr>
              <w:suppressAutoHyphens/>
              <w:spacing w:line="240" w:lineRule="auto"/>
              <w:rPr>
                <w:lang w:val="en-US"/>
              </w:rPr>
            </w:pPr>
            <w:proofErr w:type="spellStart"/>
            <w:r w:rsidRPr="001E04CA">
              <w:rPr>
                <w:lang w:val="en-US"/>
              </w:rPr>
              <w:t>Autor</w:t>
            </w:r>
            <w:r w:rsidR="00B3248C" w:rsidRPr="001E04CA">
              <w:rPr>
                <w:lang w:val="en-US"/>
              </w:rPr>
              <w:t>en</w:t>
            </w:r>
            <w:proofErr w:type="spellEnd"/>
            <w:r w:rsidR="006250B7" w:rsidRPr="001E04CA">
              <w:rPr>
                <w:lang w:val="en-US"/>
              </w:rPr>
              <w:t xml:space="preserve">: </w:t>
            </w:r>
            <w:r w:rsidR="00685B45" w:rsidRPr="001E04CA">
              <w:rPr>
                <w:b/>
                <w:lang w:val="en-US"/>
              </w:rPr>
              <w:t>M1:</w:t>
            </w:r>
            <w:r w:rsidR="00685B45" w:rsidRPr="001E04CA">
              <w:rPr>
                <w:lang w:val="en-US"/>
              </w:rPr>
              <w:t xml:space="preserve"> </w:t>
            </w:r>
            <w:r w:rsidRPr="001E04CA">
              <w:rPr>
                <w:lang w:val="en-US"/>
              </w:rPr>
              <w:t>Paul Revere</w:t>
            </w:r>
            <w:r w:rsidR="006250B7" w:rsidRPr="001E04CA">
              <w:rPr>
                <w:lang w:val="en-US"/>
              </w:rPr>
              <w:t xml:space="preserve">, </w:t>
            </w:r>
            <w:r w:rsidR="00685B45" w:rsidRPr="001E04CA">
              <w:rPr>
                <w:b/>
                <w:lang w:val="en-US"/>
              </w:rPr>
              <w:t>M2:</w:t>
            </w:r>
            <w:r w:rsidR="00685B45" w:rsidRPr="001E04CA">
              <w:rPr>
                <w:lang w:val="en-US"/>
              </w:rPr>
              <w:t xml:space="preserve"> </w:t>
            </w:r>
            <w:r w:rsidRPr="001E04CA">
              <w:rPr>
                <w:lang w:val="en-US"/>
              </w:rPr>
              <w:t xml:space="preserve">James Wells </w:t>
            </w:r>
            <w:proofErr w:type="spellStart"/>
            <w:r w:rsidRPr="001E04CA">
              <w:rPr>
                <w:lang w:val="en-US"/>
              </w:rPr>
              <w:t>Champney</w:t>
            </w:r>
            <w:proofErr w:type="spellEnd"/>
          </w:p>
          <w:p w:rsidR="005C6C76" w:rsidRDefault="00193D33" w:rsidP="001E04CA">
            <w:pPr>
              <w:pStyle w:val="Listenabsatz"/>
              <w:numPr>
                <w:ilvl w:val="0"/>
                <w:numId w:val="16"/>
              </w:numPr>
              <w:suppressAutoHyphens/>
              <w:spacing w:line="240" w:lineRule="auto"/>
            </w:pPr>
            <w:r w:rsidRPr="001E04CA">
              <w:t>Bilddokument</w:t>
            </w:r>
            <w:r w:rsidR="006250B7" w:rsidRPr="001E04CA">
              <w:t xml:space="preserve">: </w:t>
            </w:r>
            <w:r w:rsidR="00685B45" w:rsidRPr="001E04CA">
              <w:rPr>
                <w:b/>
              </w:rPr>
              <w:t>M1:</w:t>
            </w:r>
            <w:r w:rsidR="00685B45" w:rsidRPr="001E04CA">
              <w:t xml:space="preserve"> </w:t>
            </w:r>
            <w:r w:rsidR="00C2005D" w:rsidRPr="001E04CA">
              <w:t xml:space="preserve">durch Text </w:t>
            </w:r>
            <w:r w:rsidR="002B5E8B" w:rsidRPr="001E04CA">
              <w:t xml:space="preserve">kommentierte </w:t>
            </w:r>
            <w:r w:rsidR="00D8081D" w:rsidRPr="001E04CA">
              <w:t>Farb</w:t>
            </w:r>
            <w:r w:rsidR="002B5E8B" w:rsidRPr="001E04CA">
              <w:t>darstellung</w:t>
            </w:r>
            <w:r w:rsidR="00AE42FE" w:rsidRPr="001E04CA">
              <w:t>,</w:t>
            </w:r>
          </w:p>
          <w:p w:rsidR="00D8081D" w:rsidRPr="001E04CA" w:rsidRDefault="00685B45" w:rsidP="005C6C76">
            <w:pPr>
              <w:pStyle w:val="Listenabsatz"/>
              <w:suppressAutoHyphens/>
              <w:spacing w:line="240" w:lineRule="auto"/>
              <w:ind w:left="360"/>
            </w:pPr>
            <w:r w:rsidRPr="001E04CA">
              <w:rPr>
                <w:b/>
              </w:rPr>
              <w:t>M2:</w:t>
            </w:r>
            <w:r w:rsidRPr="001E04CA">
              <w:t xml:space="preserve"> </w:t>
            </w:r>
            <w:r w:rsidR="002B5E8B" w:rsidRPr="001E04CA">
              <w:t xml:space="preserve">unkommentiertes </w:t>
            </w:r>
            <w:r w:rsidR="00D8081D" w:rsidRPr="001E04CA">
              <w:t>Schwarz-Weiß-</w:t>
            </w:r>
            <w:r w:rsidR="002B5E8B" w:rsidRPr="001E04CA">
              <w:t>Bild</w:t>
            </w:r>
          </w:p>
          <w:p w:rsidR="005C6C76" w:rsidRDefault="00193D33" w:rsidP="001E04CA">
            <w:pPr>
              <w:pStyle w:val="Listenabsatz"/>
              <w:numPr>
                <w:ilvl w:val="0"/>
                <w:numId w:val="16"/>
              </w:numPr>
              <w:suppressAutoHyphens/>
              <w:spacing w:line="240" w:lineRule="auto"/>
            </w:pPr>
            <w:r w:rsidRPr="001E04CA">
              <w:t>Darstellung der Siedler</w:t>
            </w:r>
            <w:r w:rsidR="00AE42FE" w:rsidRPr="001E04CA">
              <w:t xml:space="preserve">innen und Siedler: </w:t>
            </w:r>
            <w:r w:rsidR="00685B45" w:rsidRPr="001E04CA">
              <w:rPr>
                <w:b/>
              </w:rPr>
              <w:t>M1:</w:t>
            </w:r>
            <w:r w:rsidR="00685B45" w:rsidRPr="001E04CA">
              <w:t xml:space="preserve"> </w:t>
            </w:r>
            <w:r w:rsidR="005C6C76">
              <w:t>U</w:t>
            </w:r>
            <w:r w:rsidR="00B14E78" w:rsidRPr="001E04CA">
              <w:t xml:space="preserve">nbewaffnete, schutzlose </w:t>
            </w:r>
            <w:r w:rsidR="00C2005D" w:rsidRPr="001E04CA">
              <w:t>Siedler</w:t>
            </w:r>
            <w:r w:rsidR="00AE42FE" w:rsidRPr="001E04CA">
              <w:t>innen und Siedler</w:t>
            </w:r>
            <w:r w:rsidR="00C2005D" w:rsidRPr="001E04CA">
              <w:t xml:space="preserve"> bergen blutende Opfer</w:t>
            </w:r>
            <w:r w:rsidR="005C6C76">
              <w:t>.</w:t>
            </w:r>
          </w:p>
          <w:p w:rsidR="00B14E78" w:rsidRPr="001E04CA" w:rsidRDefault="00685B45" w:rsidP="005C6C76">
            <w:pPr>
              <w:pStyle w:val="Listenabsatz"/>
              <w:suppressAutoHyphens/>
              <w:spacing w:line="240" w:lineRule="auto"/>
              <w:ind w:left="360"/>
            </w:pPr>
            <w:r w:rsidRPr="001E04CA">
              <w:rPr>
                <w:b/>
              </w:rPr>
              <w:t>M2:</w:t>
            </w:r>
            <w:r w:rsidRPr="001E04CA">
              <w:t xml:space="preserve"> </w:t>
            </w:r>
            <w:r w:rsidR="00AE42FE" w:rsidRPr="001E04CA">
              <w:t>E</w:t>
            </w:r>
            <w:r w:rsidR="00193D33" w:rsidRPr="001E04CA">
              <w:t>in Teil der Siedler</w:t>
            </w:r>
            <w:r w:rsidR="00AE42FE" w:rsidRPr="001E04CA">
              <w:t>innen und Siedler</w:t>
            </w:r>
            <w:r w:rsidR="00193D33" w:rsidRPr="001E04CA">
              <w:t xml:space="preserve"> ist </w:t>
            </w:r>
            <w:r w:rsidR="00B14E78" w:rsidRPr="001E04CA">
              <w:t>mit Knüppeln bewaffnet</w:t>
            </w:r>
            <w:r w:rsidR="00C2005D" w:rsidRPr="001E04CA">
              <w:t xml:space="preserve"> und stellt sich </w:t>
            </w:r>
            <w:r w:rsidR="00AE42FE" w:rsidRPr="001E04CA">
              <w:t xml:space="preserve">den </w:t>
            </w:r>
            <w:r w:rsidRPr="001E04CA">
              <w:t xml:space="preserve">britischen </w:t>
            </w:r>
            <w:r w:rsidR="00C2005D" w:rsidRPr="001E04CA">
              <w:t>Soldaten entgegen</w:t>
            </w:r>
            <w:r w:rsidR="00AE42FE" w:rsidRPr="001E04CA">
              <w:t>.</w:t>
            </w:r>
          </w:p>
          <w:p w:rsidR="00D8081D" w:rsidRPr="001E04CA" w:rsidRDefault="00AE42FE" w:rsidP="001E04CA">
            <w:pPr>
              <w:pStyle w:val="Listenabsatz"/>
              <w:numPr>
                <w:ilvl w:val="0"/>
                <w:numId w:val="16"/>
              </w:numPr>
              <w:suppressAutoHyphens/>
              <w:spacing w:line="240" w:lineRule="auto"/>
            </w:pPr>
            <w:r w:rsidRPr="001E04CA">
              <w:t>A</w:t>
            </w:r>
            <w:r w:rsidR="00B3248C" w:rsidRPr="001E04CA">
              <w:t xml:space="preserve">nders als in </w:t>
            </w:r>
            <w:r w:rsidR="00B3248C" w:rsidRPr="001E04CA">
              <w:rPr>
                <w:b/>
              </w:rPr>
              <w:t xml:space="preserve">M1 </w:t>
            </w:r>
            <w:r w:rsidR="00B3248C" w:rsidRPr="001E04CA">
              <w:t xml:space="preserve">steht </w:t>
            </w:r>
            <w:r w:rsidR="00950650" w:rsidRPr="001E04CA">
              <w:t xml:space="preserve">in </w:t>
            </w:r>
            <w:r w:rsidR="00950650" w:rsidRPr="001E04CA">
              <w:rPr>
                <w:b/>
              </w:rPr>
              <w:t xml:space="preserve">M2 </w:t>
            </w:r>
            <w:r w:rsidR="00BA7994" w:rsidRPr="001E04CA">
              <w:t xml:space="preserve">ein </w:t>
            </w:r>
            <w:r w:rsidR="00B14E78" w:rsidRPr="001E04CA">
              <w:t>von Kugeln getroffene</w:t>
            </w:r>
            <w:r w:rsidR="00BA7994" w:rsidRPr="001E04CA">
              <w:t>r</w:t>
            </w:r>
            <w:r w:rsidR="00B14E78" w:rsidRPr="001E04CA">
              <w:t xml:space="preserve"> </w:t>
            </w:r>
            <w:r w:rsidR="002B5E8B" w:rsidRPr="001E04CA">
              <w:t>Afroamerikaner</w:t>
            </w:r>
            <w:r w:rsidRPr="001E04CA">
              <w:t xml:space="preserve">, </w:t>
            </w:r>
            <w:proofErr w:type="spellStart"/>
            <w:r w:rsidR="00D8081D" w:rsidRPr="001E04CA">
              <w:t>Crispus</w:t>
            </w:r>
            <w:proofErr w:type="spellEnd"/>
            <w:r w:rsidR="00D8081D" w:rsidRPr="001E04CA">
              <w:t xml:space="preserve"> Attuck</w:t>
            </w:r>
            <w:r w:rsidRPr="001E04CA">
              <w:t xml:space="preserve">s, </w:t>
            </w:r>
            <w:r w:rsidR="00B3248C" w:rsidRPr="001E04CA">
              <w:t>im Mittelpunkt</w:t>
            </w:r>
            <w:r w:rsidRPr="001E04CA">
              <w:t>.</w:t>
            </w:r>
          </w:p>
          <w:p w:rsidR="00C2005D" w:rsidRPr="001E04CA" w:rsidRDefault="00AE42FE" w:rsidP="001E04CA">
            <w:pPr>
              <w:pStyle w:val="Listenabsatz"/>
              <w:numPr>
                <w:ilvl w:val="0"/>
                <w:numId w:val="16"/>
              </w:numPr>
              <w:suppressAutoHyphens/>
              <w:spacing w:line="240" w:lineRule="auto"/>
            </w:pPr>
            <w:r w:rsidRPr="001E04CA">
              <w:t>A</w:t>
            </w:r>
            <w:r w:rsidR="00B3248C" w:rsidRPr="001E04CA">
              <w:t xml:space="preserve">nders als in </w:t>
            </w:r>
            <w:r w:rsidR="00B3248C" w:rsidRPr="001E04CA">
              <w:rPr>
                <w:b/>
              </w:rPr>
              <w:t xml:space="preserve">M1 </w:t>
            </w:r>
            <w:r w:rsidR="00B3248C" w:rsidRPr="001E04CA">
              <w:t xml:space="preserve">liegt </w:t>
            </w:r>
            <w:r w:rsidR="00950650" w:rsidRPr="001E04CA">
              <w:t xml:space="preserve">in </w:t>
            </w:r>
            <w:r w:rsidR="00950650" w:rsidRPr="001E04CA">
              <w:rPr>
                <w:b/>
              </w:rPr>
              <w:t>M2</w:t>
            </w:r>
            <w:r w:rsidR="00950650" w:rsidRPr="001E04CA">
              <w:t xml:space="preserve"> </w:t>
            </w:r>
            <w:r w:rsidR="00B3248C" w:rsidRPr="001E04CA">
              <w:t>e</w:t>
            </w:r>
            <w:r w:rsidR="00B14E78" w:rsidRPr="001E04CA">
              <w:t xml:space="preserve">in </w:t>
            </w:r>
            <w:r w:rsidR="00B3248C" w:rsidRPr="001E04CA">
              <w:t xml:space="preserve">britischer </w:t>
            </w:r>
            <w:r w:rsidR="00B14E78" w:rsidRPr="001E04CA">
              <w:t>Soldat mit Gewehr am Boden</w:t>
            </w:r>
            <w:r w:rsidRPr="001E04CA">
              <w:t>.</w:t>
            </w:r>
          </w:p>
          <w:p w:rsidR="00B14E78" w:rsidRPr="001E04CA" w:rsidRDefault="00AE42FE" w:rsidP="0052568D">
            <w:pPr>
              <w:pStyle w:val="Listenabsatz"/>
              <w:numPr>
                <w:ilvl w:val="0"/>
                <w:numId w:val="16"/>
              </w:numPr>
              <w:suppressAutoHyphens/>
              <w:spacing w:line="240" w:lineRule="auto"/>
            </w:pPr>
            <w:r w:rsidRPr="001E04CA">
              <w:t>A</w:t>
            </w:r>
            <w:r w:rsidR="00C2005D" w:rsidRPr="001E04CA">
              <w:t xml:space="preserve">nders als in </w:t>
            </w:r>
            <w:r w:rsidR="00C2005D" w:rsidRPr="001E04CA">
              <w:rPr>
                <w:b/>
              </w:rPr>
              <w:t>M1</w:t>
            </w:r>
            <w:r w:rsidR="00C2005D" w:rsidRPr="001E04CA">
              <w:t xml:space="preserve"> fehlt </w:t>
            </w:r>
            <w:r w:rsidR="00950650" w:rsidRPr="001E04CA">
              <w:t xml:space="preserve">in </w:t>
            </w:r>
            <w:r w:rsidR="00950650" w:rsidRPr="001E04CA">
              <w:rPr>
                <w:b/>
              </w:rPr>
              <w:t>M2</w:t>
            </w:r>
            <w:r w:rsidR="00950650" w:rsidRPr="001E04CA">
              <w:t xml:space="preserve"> </w:t>
            </w:r>
            <w:r w:rsidR="00B3248C" w:rsidRPr="001E04CA">
              <w:t xml:space="preserve">der </w:t>
            </w:r>
            <w:proofErr w:type="spellStart"/>
            <w:r w:rsidR="005C6C76">
              <w:t>b</w:t>
            </w:r>
            <w:r w:rsidR="00B3248C" w:rsidRPr="001E04CA">
              <w:t>efehlgebende</w:t>
            </w:r>
            <w:proofErr w:type="spellEnd"/>
            <w:r w:rsidR="00B3248C" w:rsidRPr="001E04CA">
              <w:t xml:space="preserve"> </w:t>
            </w:r>
            <w:r w:rsidR="00BA7994" w:rsidRPr="001E04CA">
              <w:t xml:space="preserve">britische </w:t>
            </w:r>
            <w:r w:rsidR="00B3248C" w:rsidRPr="001E04CA">
              <w:t>Offizier</w:t>
            </w:r>
            <w:r w:rsidRPr="001E04CA">
              <w:t>.</w:t>
            </w:r>
          </w:p>
        </w:tc>
      </w:tr>
    </w:tbl>
    <w:p w:rsidR="001A6150" w:rsidRPr="001E04CA" w:rsidRDefault="001A6150" w:rsidP="001E04CA">
      <w:pPr>
        <w:suppressAutoHyphens/>
        <w:spacing w:line="240" w:lineRule="auto"/>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Default="001E04CA" w:rsidP="001E04CA">
      <w:pPr>
        <w:suppressAutoHyphens/>
        <w:spacing w:line="240" w:lineRule="auto"/>
        <w:rPr>
          <w:b/>
        </w:rPr>
      </w:pPr>
    </w:p>
    <w:p w:rsidR="001E04CA" w:rsidRPr="001E04CA" w:rsidRDefault="001E04CA" w:rsidP="001E04CA">
      <w:pPr>
        <w:rPr>
          <w:lang w:val="en-US"/>
        </w:rPr>
      </w:pPr>
      <w:r w:rsidRPr="00F66D5A">
        <w:rPr>
          <w:i/>
          <w:noProof/>
          <w:sz w:val="20"/>
          <w:szCs w:val="20"/>
          <w:lang w:eastAsia="de-DE"/>
        </w:rPr>
        <w:drawing>
          <wp:inline distT="0" distB="0" distL="0" distR="0">
            <wp:extent cx="1227411" cy="429442"/>
            <wp:effectExtent l="1905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2" cstate="print"/>
                    <a:stretch>
                      <a:fillRect/>
                    </a:stretch>
                  </pic:blipFill>
                  <pic:spPr>
                    <a:xfrm>
                      <a:off x="0" y="0"/>
                      <a:ext cx="1227411" cy="429442"/>
                    </a:xfrm>
                    <a:prstGeom prst="rect">
                      <a:avLst/>
                    </a:prstGeom>
                  </pic:spPr>
                </pic:pic>
              </a:graphicData>
            </a:graphic>
          </wp:inline>
        </w:drawing>
      </w:r>
      <w:r w:rsidRPr="001E04CA">
        <w:rPr>
          <w:lang w:val="en-US"/>
        </w:rPr>
        <w:t xml:space="preserve"> LISUM 2017</w:t>
      </w:r>
    </w:p>
    <w:p w:rsidR="001E04CA" w:rsidRPr="001E04CA" w:rsidRDefault="001E04CA" w:rsidP="001E04CA">
      <w:pPr>
        <w:rPr>
          <w:color w:val="000000" w:themeColor="text1"/>
          <w:sz w:val="16"/>
          <w:szCs w:val="16"/>
          <w:lang w:val="en-US"/>
        </w:rPr>
      </w:pPr>
      <w:r w:rsidRPr="001E04CA">
        <w:rPr>
          <w:color w:val="000000" w:themeColor="text1"/>
          <w:sz w:val="16"/>
          <w:szCs w:val="16"/>
          <w:lang w:val="en-US"/>
        </w:rPr>
        <w:t xml:space="preserve">M1: </w:t>
      </w:r>
      <w:hyperlink r:id="rId15" w:anchor="/media/File:Boston_Massacre.jpg" w:history="1">
        <w:r w:rsidRPr="001E04CA">
          <w:rPr>
            <w:rStyle w:val="Hyperlink"/>
            <w:color w:val="000000" w:themeColor="text1"/>
            <w:sz w:val="16"/>
            <w:szCs w:val="16"/>
            <w:u w:val="none"/>
            <w:lang w:val="en-US"/>
          </w:rPr>
          <w:t>https://de.wikipedia.org/wiki/Massaker_von_Boston#/media/File:Boston_Massacre.jpg</w:t>
        </w:r>
      </w:hyperlink>
      <w:r w:rsidRPr="001E04CA">
        <w:rPr>
          <w:color w:val="000000" w:themeColor="text1"/>
          <w:sz w:val="16"/>
          <w:szCs w:val="16"/>
          <w:lang w:val="en-US"/>
        </w:rPr>
        <w:t xml:space="preserve"> (</w:t>
      </w:r>
      <w:proofErr w:type="spellStart"/>
      <w:r w:rsidRPr="001E04CA">
        <w:rPr>
          <w:color w:val="000000" w:themeColor="text1"/>
          <w:sz w:val="16"/>
          <w:szCs w:val="16"/>
          <w:lang w:val="en-US"/>
        </w:rPr>
        <w:t>Zugriff</w:t>
      </w:r>
      <w:proofErr w:type="spellEnd"/>
      <w:r w:rsidRPr="001E04CA">
        <w:rPr>
          <w:color w:val="000000" w:themeColor="text1"/>
          <w:sz w:val="16"/>
          <w:szCs w:val="16"/>
          <w:lang w:val="en-US"/>
        </w:rPr>
        <w:t xml:space="preserve"> 22.04.2016) Public Domain</w:t>
      </w:r>
    </w:p>
    <w:p w:rsidR="001E04CA" w:rsidRPr="001E04CA" w:rsidRDefault="001E04CA" w:rsidP="001E04CA">
      <w:pPr>
        <w:rPr>
          <w:color w:val="000000" w:themeColor="text1"/>
          <w:sz w:val="16"/>
          <w:szCs w:val="16"/>
          <w:lang w:val="en-US"/>
        </w:rPr>
      </w:pPr>
      <w:r w:rsidRPr="001E04CA">
        <w:rPr>
          <w:color w:val="000000" w:themeColor="text1"/>
          <w:sz w:val="16"/>
          <w:szCs w:val="16"/>
          <w:lang w:val="en-US"/>
        </w:rPr>
        <w:t xml:space="preserve">M2: </w:t>
      </w:r>
      <w:hyperlink r:id="rId16" w:anchor="/media/File:Boston_massacre2.gif" w:history="1">
        <w:r w:rsidRPr="001E04CA">
          <w:rPr>
            <w:rStyle w:val="Hyperlink"/>
            <w:color w:val="000000" w:themeColor="text1"/>
            <w:sz w:val="16"/>
            <w:szCs w:val="16"/>
            <w:u w:val="none"/>
            <w:lang w:val="en-US"/>
          </w:rPr>
          <w:t>https://de.wikipedia.org/wiki/Massaker_von_Boston#/media/File:Boston_massacre2.gif</w:t>
        </w:r>
      </w:hyperlink>
      <w:r w:rsidRPr="001E04CA">
        <w:rPr>
          <w:color w:val="000000" w:themeColor="text1"/>
          <w:sz w:val="16"/>
          <w:szCs w:val="16"/>
          <w:lang w:val="en-US"/>
        </w:rPr>
        <w:t xml:space="preserve"> (</w:t>
      </w:r>
      <w:proofErr w:type="spellStart"/>
      <w:r w:rsidRPr="001E04CA">
        <w:rPr>
          <w:color w:val="000000" w:themeColor="text1"/>
          <w:sz w:val="16"/>
          <w:szCs w:val="16"/>
          <w:lang w:val="en-US"/>
        </w:rPr>
        <w:t>Zugriff</w:t>
      </w:r>
      <w:proofErr w:type="spellEnd"/>
      <w:r w:rsidRPr="001E04CA">
        <w:rPr>
          <w:color w:val="000000" w:themeColor="text1"/>
          <w:sz w:val="16"/>
          <w:szCs w:val="16"/>
          <w:lang w:val="en-US"/>
        </w:rPr>
        <w:t xml:space="preserve"> am 22.04.2016)</w:t>
      </w:r>
      <w:r w:rsidR="0052568D">
        <w:rPr>
          <w:color w:val="000000" w:themeColor="text1"/>
          <w:sz w:val="16"/>
          <w:szCs w:val="16"/>
          <w:lang w:val="en-US"/>
        </w:rPr>
        <w:t xml:space="preserve"> </w:t>
      </w:r>
      <w:r w:rsidRPr="001E04CA">
        <w:rPr>
          <w:color w:val="000000" w:themeColor="text1"/>
          <w:sz w:val="16"/>
          <w:szCs w:val="16"/>
          <w:lang w:val="en-US"/>
        </w:rPr>
        <w:t>Public Domain</w:t>
      </w:r>
    </w:p>
    <w:p w:rsidR="001E04CA" w:rsidRPr="001E04CA" w:rsidRDefault="001E04CA" w:rsidP="001E04CA">
      <w:pPr>
        <w:rPr>
          <w:sz w:val="2"/>
          <w:szCs w:val="2"/>
          <w:lang w:val="en-US"/>
        </w:rPr>
      </w:pPr>
    </w:p>
    <w:p w:rsidR="00C2005D" w:rsidRDefault="00AE42FE" w:rsidP="001E04CA">
      <w:pPr>
        <w:suppressAutoHyphens/>
        <w:spacing w:line="240" w:lineRule="auto"/>
        <w:rPr>
          <w:b/>
        </w:rPr>
      </w:pPr>
      <w:r w:rsidRPr="001E04CA">
        <w:rPr>
          <w:b/>
        </w:rPr>
        <w:t>Aufgabe 2</w:t>
      </w:r>
    </w:p>
    <w:p w:rsidR="001E04CA" w:rsidRPr="001E04CA" w:rsidRDefault="001E04CA" w:rsidP="001E04CA">
      <w:pPr>
        <w:suppressAutoHyphens/>
        <w:spacing w:line="240" w:lineRule="auto"/>
        <w:rPr>
          <w:b/>
        </w:rPr>
      </w:pPr>
    </w:p>
    <w:p w:rsidR="001344ED" w:rsidRPr="001E04CA" w:rsidRDefault="00315C3D" w:rsidP="001E04CA">
      <w:pPr>
        <w:suppressAutoHyphens/>
        <w:spacing w:line="240" w:lineRule="auto"/>
      </w:pPr>
      <w:r w:rsidRPr="001E04CA">
        <w:t xml:space="preserve">In der Diskussion sollte darauf abgehoben werden, dass es </w:t>
      </w:r>
      <w:r w:rsidR="001344ED" w:rsidRPr="001E04CA">
        <w:rPr>
          <w:b/>
        </w:rPr>
        <w:t>Paul Revere</w:t>
      </w:r>
      <w:r w:rsidR="001344ED" w:rsidRPr="001E04CA">
        <w:t xml:space="preserve"> </w:t>
      </w:r>
      <w:r w:rsidR="00456E94" w:rsidRPr="001E04CA">
        <w:t xml:space="preserve">(Autor von </w:t>
      </w:r>
      <w:r w:rsidR="00456E94" w:rsidRPr="001E04CA">
        <w:rPr>
          <w:b/>
        </w:rPr>
        <w:t>M1</w:t>
      </w:r>
      <w:r w:rsidR="00456E94" w:rsidRPr="001E04CA">
        <w:t xml:space="preserve">) </w:t>
      </w:r>
      <w:r w:rsidR="001344ED" w:rsidRPr="001E04CA">
        <w:t>wichtig</w:t>
      </w:r>
      <w:r w:rsidRPr="001E04CA">
        <w:t xml:space="preserve"> </w:t>
      </w:r>
      <w:r w:rsidR="00456E94" w:rsidRPr="001E04CA">
        <w:t>war</w:t>
      </w:r>
      <w:r w:rsidR="001344ED" w:rsidRPr="001E04CA">
        <w:t xml:space="preserve">, zu zeigen, dass das britische Militär auf Befehl </w:t>
      </w:r>
      <w:r w:rsidR="007278E4" w:rsidRPr="001E04CA">
        <w:t xml:space="preserve">gegen </w:t>
      </w:r>
      <w:r w:rsidR="001344ED" w:rsidRPr="001E04CA">
        <w:t xml:space="preserve">unbewaffnete </w:t>
      </w:r>
      <w:r w:rsidR="00AE42FE" w:rsidRPr="001E04CA">
        <w:t xml:space="preserve">Zivilistinnen und </w:t>
      </w:r>
      <w:r w:rsidR="007278E4" w:rsidRPr="001E04CA">
        <w:t>Zivilisten</w:t>
      </w:r>
      <w:r w:rsidR="001344ED" w:rsidRPr="001E04CA">
        <w:t xml:space="preserve"> </w:t>
      </w:r>
      <w:r w:rsidR="007278E4" w:rsidRPr="001E04CA">
        <w:t>vorgegangen sei</w:t>
      </w:r>
      <w:r w:rsidR="001344ED" w:rsidRPr="001E04CA">
        <w:t>. Die Siedler</w:t>
      </w:r>
      <w:r w:rsidR="00AE42FE" w:rsidRPr="001E04CA">
        <w:t>innen und Siedler</w:t>
      </w:r>
      <w:r w:rsidR="001344ED" w:rsidRPr="001E04CA">
        <w:t xml:space="preserve"> </w:t>
      </w:r>
      <w:r w:rsidR="00AE42FE" w:rsidRPr="001E04CA">
        <w:t xml:space="preserve">stellt er als </w:t>
      </w:r>
      <w:r w:rsidR="00885C24" w:rsidRPr="001E04CA">
        <w:t xml:space="preserve">hilflose </w:t>
      </w:r>
      <w:r w:rsidR="001344ED" w:rsidRPr="001E04CA">
        <w:t>Opfer dar</w:t>
      </w:r>
      <w:r w:rsidR="00AE42FE" w:rsidRPr="001E04CA">
        <w:t xml:space="preserve">, </w:t>
      </w:r>
      <w:r w:rsidR="002F3A84" w:rsidRPr="001E04CA">
        <w:t>die unvermittelt beschossen werden</w:t>
      </w:r>
      <w:r w:rsidR="001344ED" w:rsidRPr="001E04CA">
        <w:t xml:space="preserve">. </w:t>
      </w:r>
      <w:r w:rsidR="00885C24" w:rsidRPr="001E04CA">
        <w:t xml:space="preserve">Warum </w:t>
      </w:r>
      <w:r w:rsidR="007278E4" w:rsidRPr="001E04CA">
        <w:t xml:space="preserve">mit </w:t>
      </w:r>
      <w:r w:rsidR="00885C24" w:rsidRPr="001E04CA">
        <w:t>Waffen</w:t>
      </w:r>
      <w:r w:rsidR="007278E4" w:rsidRPr="001E04CA">
        <w:t>gewalt gegen Kolonist</w:t>
      </w:r>
      <w:r w:rsidR="00AE42FE" w:rsidRPr="001E04CA">
        <w:t>inn</w:t>
      </w:r>
      <w:r w:rsidR="007278E4" w:rsidRPr="001E04CA">
        <w:t xml:space="preserve">en </w:t>
      </w:r>
      <w:r w:rsidR="00AE42FE" w:rsidRPr="001E04CA">
        <w:t xml:space="preserve">und Kolonisten </w:t>
      </w:r>
      <w:r w:rsidR="007278E4" w:rsidRPr="001E04CA">
        <w:t>vorgegangen w</w:t>
      </w:r>
      <w:r w:rsidR="00AE42FE" w:rsidRPr="001E04CA">
        <w:t>i</w:t>
      </w:r>
      <w:r w:rsidR="002B5E8B" w:rsidRPr="001E04CA">
        <w:t>rd</w:t>
      </w:r>
      <w:r w:rsidR="007278E4" w:rsidRPr="001E04CA">
        <w:t>, lässt der Künstler offen</w:t>
      </w:r>
      <w:r w:rsidR="00885C24" w:rsidRPr="001E04CA">
        <w:t xml:space="preserve">. </w:t>
      </w:r>
      <w:r w:rsidR="00AE42FE" w:rsidRPr="001E04CA">
        <w:t>V</w:t>
      </w:r>
      <w:r w:rsidR="007278E4" w:rsidRPr="001E04CA">
        <w:t xml:space="preserve">ielmehr </w:t>
      </w:r>
      <w:r w:rsidR="00AE42FE" w:rsidRPr="001E04CA">
        <w:t xml:space="preserve">soll der </w:t>
      </w:r>
      <w:r w:rsidR="00885C24" w:rsidRPr="001E04CA">
        <w:t>Bild</w:t>
      </w:r>
      <w:r w:rsidR="00AE42FE" w:rsidRPr="001E04CA">
        <w:t>inhalt</w:t>
      </w:r>
      <w:r w:rsidR="00885C24" w:rsidRPr="001E04CA">
        <w:t xml:space="preserve"> vermittel</w:t>
      </w:r>
      <w:r w:rsidR="00AE42FE" w:rsidRPr="001E04CA">
        <w:t>n, d</w:t>
      </w:r>
      <w:r w:rsidR="00885C24" w:rsidRPr="001E04CA">
        <w:t>ass das britische Militär wie ein Aggressor</w:t>
      </w:r>
      <w:r w:rsidR="00AE42FE" w:rsidRPr="001E04CA">
        <w:t xml:space="preserve">, ein Feind, </w:t>
      </w:r>
      <w:r w:rsidR="00885C24" w:rsidRPr="001E04CA">
        <w:t>vorg</w:t>
      </w:r>
      <w:r w:rsidR="00BA7994" w:rsidRPr="001E04CA">
        <w:t>egangen sei</w:t>
      </w:r>
      <w:r w:rsidR="00885C24" w:rsidRPr="001E04CA">
        <w:t xml:space="preserve">. Jede Form von Protest und Widerstand </w:t>
      </w:r>
      <w:r w:rsidR="00AE42FE" w:rsidRPr="001E04CA">
        <w:t xml:space="preserve">muss </w:t>
      </w:r>
      <w:r w:rsidR="00885C24" w:rsidRPr="001E04CA">
        <w:t>vor diesem Hintergrund als Notwehr</w:t>
      </w:r>
      <w:r w:rsidR="00AE42FE" w:rsidRPr="001E04CA">
        <w:t xml:space="preserve"> erscheinen</w:t>
      </w:r>
      <w:r w:rsidR="00885C24" w:rsidRPr="001E04CA">
        <w:t>. Paul Revere w</w:t>
      </w:r>
      <w:r w:rsidR="00456E94" w:rsidRPr="001E04CA">
        <w:t>o</w:t>
      </w:r>
      <w:r w:rsidR="00885C24" w:rsidRPr="001E04CA">
        <w:t>ll</w:t>
      </w:r>
      <w:r w:rsidR="00456E94" w:rsidRPr="001E04CA">
        <w:t>te</w:t>
      </w:r>
      <w:r w:rsidR="00885C24" w:rsidRPr="001E04CA">
        <w:t xml:space="preserve"> mehr </w:t>
      </w:r>
      <w:r w:rsidR="00685B45" w:rsidRPr="001E04CA">
        <w:t>Protest</w:t>
      </w:r>
      <w:r w:rsidR="002F3A84" w:rsidRPr="001E04CA">
        <w:t>aktionen</w:t>
      </w:r>
      <w:r w:rsidR="00885C24" w:rsidRPr="001E04CA">
        <w:t xml:space="preserve"> </w:t>
      </w:r>
      <w:r w:rsidR="00AE42FE" w:rsidRPr="001E04CA">
        <w:t xml:space="preserve">erreichen </w:t>
      </w:r>
      <w:r w:rsidR="00885C24" w:rsidRPr="001E04CA">
        <w:t>und de</w:t>
      </w:r>
      <w:r w:rsidR="00456E94" w:rsidRPr="001E04CA">
        <w:t>n Zulauf zu Gruppen</w:t>
      </w:r>
      <w:r w:rsidR="00AE42FE" w:rsidRPr="001E04CA">
        <w:t xml:space="preserve">, die sich zur amerikanischen Unabhängigkeitsbewegung bekannten, erhöhen. </w:t>
      </w:r>
      <w:r w:rsidR="00885C24" w:rsidRPr="001E04CA">
        <w:t xml:space="preserve">Der Kupferstich von 1770 </w:t>
      </w:r>
      <w:r w:rsidR="00C2005D" w:rsidRPr="001E04CA">
        <w:t>klagt al</w:t>
      </w:r>
      <w:r w:rsidR="00885C24" w:rsidRPr="001E04CA">
        <w:t xml:space="preserve">so </w:t>
      </w:r>
      <w:r w:rsidR="007278E4" w:rsidRPr="001E04CA">
        <w:t xml:space="preserve">das britische Militär </w:t>
      </w:r>
      <w:r w:rsidR="00C2005D" w:rsidRPr="001E04CA">
        <w:t xml:space="preserve">an </w:t>
      </w:r>
      <w:r w:rsidR="00885C24" w:rsidRPr="001E04CA">
        <w:t xml:space="preserve">und </w:t>
      </w:r>
      <w:r w:rsidR="00C2005D" w:rsidRPr="001E04CA">
        <w:t>ruft die Siedler</w:t>
      </w:r>
      <w:r w:rsidR="00AE42FE" w:rsidRPr="001E04CA">
        <w:t>innen und Siedler</w:t>
      </w:r>
      <w:r w:rsidR="00C2005D" w:rsidRPr="001E04CA">
        <w:t xml:space="preserve"> zu weiteren Widerstandsaktionen auf.</w:t>
      </w:r>
    </w:p>
    <w:p w:rsidR="007278E4" w:rsidRPr="001E04CA" w:rsidRDefault="007278E4" w:rsidP="001E04CA">
      <w:pPr>
        <w:suppressAutoHyphens/>
        <w:spacing w:line="240" w:lineRule="auto"/>
      </w:pPr>
    </w:p>
    <w:p w:rsidR="00042ABC" w:rsidRDefault="00AE42FE" w:rsidP="001E04CA">
      <w:pPr>
        <w:suppressAutoHyphens/>
        <w:spacing w:line="240" w:lineRule="auto"/>
      </w:pPr>
      <w:r w:rsidRPr="001E04CA">
        <w:t xml:space="preserve">Die </w:t>
      </w:r>
      <w:r w:rsidR="00456E94" w:rsidRPr="001E04CA">
        <w:t xml:space="preserve">Diskussion </w:t>
      </w:r>
      <w:r w:rsidRPr="001E04CA">
        <w:t xml:space="preserve">des Bildes </w:t>
      </w:r>
      <w:r w:rsidR="00456E94" w:rsidRPr="001E04CA">
        <w:t xml:space="preserve">von </w:t>
      </w:r>
      <w:r w:rsidR="001344ED" w:rsidRPr="001E04CA">
        <w:rPr>
          <w:b/>
        </w:rPr>
        <w:t xml:space="preserve">James Wells </w:t>
      </w:r>
      <w:proofErr w:type="spellStart"/>
      <w:r w:rsidR="001344ED" w:rsidRPr="001E04CA">
        <w:rPr>
          <w:b/>
        </w:rPr>
        <w:t>Champney</w:t>
      </w:r>
      <w:proofErr w:type="spellEnd"/>
      <w:r w:rsidR="001344ED" w:rsidRPr="001E04CA">
        <w:t xml:space="preserve"> </w:t>
      </w:r>
      <w:r w:rsidR="00456E94" w:rsidRPr="001E04CA">
        <w:t xml:space="preserve">(Autor von </w:t>
      </w:r>
      <w:r w:rsidR="00456E94" w:rsidRPr="001E04CA">
        <w:rPr>
          <w:b/>
        </w:rPr>
        <w:t>M2</w:t>
      </w:r>
      <w:r w:rsidR="00456E94" w:rsidRPr="001E04CA">
        <w:t xml:space="preserve">) </w:t>
      </w:r>
      <w:r w:rsidRPr="001E04CA">
        <w:t>soll ergeben</w:t>
      </w:r>
      <w:r w:rsidR="001344ED" w:rsidRPr="001E04CA">
        <w:t xml:space="preserve">, dass die </w:t>
      </w:r>
      <w:r w:rsidR="007278E4" w:rsidRPr="001E04CA">
        <w:t xml:space="preserve">nordamerikanischen </w:t>
      </w:r>
      <w:r w:rsidR="001344ED" w:rsidRPr="001E04CA">
        <w:t>Siedler</w:t>
      </w:r>
      <w:r w:rsidRPr="001E04CA">
        <w:t>innen und Siedler</w:t>
      </w:r>
      <w:r w:rsidR="001344ED" w:rsidRPr="001E04CA">
        <w:t xml:space="preserve"> </w:t>
      </w:r>
      <w:r w:rsidR="00622156" w:rsidRPr="001E04CA">
        <w:t xml:space="preserve">nicht unbewaffnet, sondern </w:t>
      </w:r>
      <w:r w:rsidRPr="001E04CA">
        <w:t>im Gegenteil einige von ihnen m</w:t>
      </w:r>
      <w:r w:rsidR="001344ED" w:rsidRPr="001E04CA">
        <w:t xml:space="preserve">it Knüppeln ausgerüstet </w:t>
      </w:r>
      <w:r w:rsidR="00456E94" w:rsidRPr="001E04CA">
        <w:t>gewesen sei</w:t>
      </w:r>
      <w:r w:rsidR="00042ABC" w:rsidRPr="001E04CA">
        <w:t>en</w:t>
      </w:r>
      <w:r w:rsidR="001344ED" w:rsidRPr="001E04CA">
        <w:t xml:space="preserve"> und ein</w:t>
      </w:r>
      <w:r w:rsidR="00950650" w:rsidRPr="001E04CA">
        <w:t>en</w:t>
      </w:r>
      <w:r w:rsidR="001344ED" w:rsidRPr="001E04CA">
        <w:t xml:space="preserve"> </w:t>
      </w:r>
      <w:r w:rsidR="007278E4" w:rsidRPr="001E04CA">
        <w:t xml:space="preserve">britischen </w:t>
      </w:r>
      <w:r w:rsidR="001344ED" w:rsidRPr="001E04CA">
        <w:t>Soldat</w:t>
      </w:r>
      <w:r w:rsidR="002F3A84" w:rsidRPr="001E04CA">
        <w:t>en</w:t>
      </w:r>
      <w:r w:rsidR="001344ED" w:rsidRPr="001E04CA">
        <w:t xml:space="preserve"> </w:t>
      </w:r>
      <w:r w:rsidR="00622156" w:rsidRPr="001E04CA">
        <w:t xml:space="preserve">niedergeschlagen </w:t>
      </w:r>
      <w:r w:rsidR="00456E94" w:rsidRPr="001E04CA">
        <w:t>habe</w:t>
      </w:r>
      <w:r w:rsidR="00042ABC" w:rsidRPr="001E04CA">
        <w:t>n</w:t>
      </w:r>
      <w:r w:rsidR="001344ED" w:rsidRPr="001E04CA">
        <w:t xml:space="preserve">. </w:t>
      </w:r>
      <w:proofErr w:type="spellStart"/>
      <w:r w:rsidR="00042ABC" w:rsidRPr="001E04CA">
        <w:t>Champney</w:t>
      </w:r>
      <w:proofErr w:type="spellEnd"/>
      <w:r w:rsidR="00042ABC" w:rsidRPr="001E04CA">
        <w:t xml:space="preserve"> geht </w:t>
      </w:r>
      <w:r w:rsidR="00622156" w:rsidRPr="001E04CA">
        <w:t xml:space="preserve">also </w:t>
      </w:r>
      <w:r w:rsidR="00042ABC" w:rsidRPr="001E04CA">
        <w:t xml:space="preserve">von </w:t>
      </w:r>
      <w:r w:rsidR="00622156" w:rsidRPr="001E04CA">
        <w:t>Akti</w:t>
      </w:r>
      <w:r w:rsidR="002F3A84" w:rsidRPr="001E04CA">
        <w:t>vitäten</w:t>
      </w:r>
      <w:r w:rsidR="00042ABC" w:rsidRPr="001E04CA">
        <w:t xml:space="preserve"> auf</w:t>
      </w:r>
      <w:r w:rsidR="005C6C76">
        <w:t>s</w:t>
      </w:r>
      <w:r w:rsidR="00042ABC" w:rsidRPr="001E04CA">
        <w:t xml:space="preserve">eiten der Siedlerinnen und Siedler aus, die dem </w:t>
      </w:r>
      <w:r w:rsidR="00622156" w:rsidRPr="001E04CA">
        <w:t xml:space="preserve">Schusswaffeneinsatz </w:t>
      </w:r>
      <w:r w:rsidR="00042ABC" w:rsidRPr="001E04CA">
        <w:t xml:space="preserve">der Briten </w:t>
      </w:r>
      <w:r w:rsidR="00622156" w:rsidRPr="001E04CA">
        <w:t>vorausgegangen sein m</w:t>
      </w:r>
      <w:r w:rsidR="00042ABC" w:rsidRPr="001E04CA">
        <w:t>u</w:t>
      </w:r>
      <w:r w:rsidR="00622156" w:rsidRPr="001E04CA">
        <w:t>ss</w:t>
      </w:r>
      <w:r w:rsidR="00042ABC" w:rsidRPr="001E04CA">
        <w:t>t</w:t>
      </w:r>
      <w:r w:rsidR="00622156" w:rsidRPr="001E04CA">
        <w:t xml:space="preserve">en. </w:t>
      </w:r>
      <w:r w:rsidR="001344ED" w:rsidRPr="001E04CA">
        <w:t xml:space="preserve">Durch die exponierte Stellung </w:t>
      </w:r>
      <w:r w:rsidR="00622156" w:rsidRPr="001E04CA">
        <w:t xml:space="preserve">eines </w:t>
      </w:r>
      <w:r w:rsidR="002B5E8B" w:rsidRPr="001E04CA">
        <w:t>Afroamerikaner</w:t>
      </w:r>
      <w:r w:rsidR="002F3A84" w:rsidRPr="001E04CA">
        <w:t>s</w:t>
      </w:r>
      <w:r w:rsidR="001344ED" w:rsidRPr="001E04CA">
        <w:t xml:space="preserve"> </w:t>
      </w:r>
      <w:r w:rsidR="00950650" w:rsidRPr="001E04CA">
        <w:t>im Bildzentrum geh</w:t>
      </w:r>
      <w:r w:rsidR="00042ABC" w:rsidRPr="001E04CA">
        <w:t xml:space="preserve">en </w:t>
      </w:r>
      <w:r w:rsidR="00950650" w:rsidRPr="001E04CA">
        <w:t xml:space="preserve">Anonymität </w:t>
      </w:r>
      <w:r w:rsidR="00042ABC" w:rsidRPr="001E04CA">
        <w:t xml:space="preserve">und Distanz zum eigentlichen historischen Ereignis </w:t>
      </w:r>
      <w:r w:rsidR="00950650" w:rsidRPr="001E04CA">
        <w:t>verloren</w:t>
      </w:r>
      <w:r w:rsidR="001344ED" w:rsidRPr="001E04CA">
        <w:t xml:space="preserve">. </w:t>
      </w:r>
      <w:r w:rsidR="00262C2E" w:rsidRPr="001E04CA">
        <w:t>D</w:t>
      </w:r>
      <w:r w:rsidR="00042ABC" w:rsidRPr="001E04CA">
        <w:t>i</w:t>
      </w:r>
      <w:r w:rsidR="00262C2E" w:rsidRPr="001E04CA">
        <w:t>e Betrachter</w:t>
      </w:r>
      <w:r w:rsidR="00042ABC" w:rsidRPr="001E04CA">
        <w:t xml:space="preserve">innen und Betrachter werden </w:t>
      </w:r>
      <w:r w:rsidR="001B70B9" w:rsidRPr="001E04CA">
        <w:t xml:space="preserve">förmlich </w:t>
      </w:r>
      <w:r w:rsidR="00262C2E" w:rsidRPr="001E04CA">
        <w:t>zu Zeug</w:t>
      </w:r>
      <w:r w:rsidR="00042ABC" w:rsidRPr="001E04CA">
        <w:t>inn</w:t>
      </w:r>
      <w:r w:rsidR="00262C2E" w:rsidRPr="001E04CA">
        <w:t xml:space="preserve">en </w:t>
      </w:r>
      <w:r w:rsidR="00042ABC" w:rsidRPr="001E04CA">
        <w:t xml:space="preserve">und Zeugen </w:t>
      </w:r>
      <w:r w:rsidR="002F3A84" w:rsidRPr="001E04CA">
        <w:t>d</w:t>
      </w:r>
      <w:r w:rsidR="00262C2E" w:rsidRPr="001E04CA">
        <w:t xml:space="preserve">er </w:t>
      </w:r>
      <w:r w:rsidR="002F3A84" w:rsidRPr="001E04CA">
        <w:t>Erschießung gemacht</w:t>
      </w:r>
      <w:r w:rsidR="00262C2E" w:rsidRPr="001E04CA">
        <w:t xml:space="preserve">. Der </w:t>
      </w:r>
      <w:r w:rsidR="00622156" w:rsidRPr="001E04CA">
        <w:t xml:space="preserve">Künstler </w:t>
      </w:r>
      <w:r w:rsidR="00042ABC" w:rsidRPr="001E04CA">
        <w:t xml:space="preserve">fokussiert </w:t>
      </w:r>
      <w:r w:rsidR="007C6C71" w:rsidRPr="001E04CA">
        <w:t xml:space="preserve">so </w:t>
      </w:r>
      <w:r w:rsidR="00BA7994" w:rsidRPr="001E04CA">
        <w:t>d</w:t>
      </w:r>
      <w:r w:rsidR="00262C2E" w:rsidRPr="001E04CA">
        <w:t>ie Aufmerksamkeit auf diese eine Begebenheit</w:t>
      </w:r>
      <w:r w:rsidR="00042ABC" w:rsidRPr="001E04CA">
        <w:t>.</w:t>
      </w:r>
    </w:p>
    <w:p w:rsidR="001E04CA" w:rsidRPr="005C6C76" w:rsidRDefault="001E04CA" w:rsidP="001E04CA">
      <w:pPr>
        <w:suppressAutoHyphens/>
        <w:spacing w:line="240" w:lineRule="auto"/>
      </w:pPr>
    </w:p>
    <w:p w:rsidR="00DE467F" w:rsidRPr="001E04CA" w:rsidRDefault="00042ABC" w:rsidP="001E04CA">
      <w:pPr>
        <w:suppressAutoHyphens/>
        <w:spacing w:line="240" w:lineRule="auto"/>
      </w:pPr>
      <w:r w:rsidRPr="001E04CA">
        <w:t xml:space="preserve">Er legt mit seinem gewählten Bildinhalt besonders Wert darauf, zu zeigen, dass </w:t>
      </w:r>
      <w:proofErr w:type="spellStart"/>
      <w:r w:rsidRPr="001E04CA">
        <w:t>Crispus</w:t>
      </w:r>
      <w:proofErr w:type="spellEnd"/>
      <w:r w:rsidRPr="001E04CA">
        <w:t xml:space="preserve"> Attucks vermutlich das erste afroamerikanische Opfer der Nordamerikanischen Revolution war. </w:t>
      </w:r>
      <w:r w:rsidR="00193D33" w:rsidRPr="001E04CA">
        <w:t xml:space="preserve">Der Künstler wollte </w:t>
      </w:r>
      <w:r w:rsidR="00FC4097" w:rsidRPr="001E04CA">
        <w:t xml:space="preserve">seinen </w:t>
      </w:r>
      <w:r w:rsidR="00262C2E" w:rsidRPr="001E04CA">
        <w:t>persönliche</w:t>
      </w:r>
      <w:r w:rsidR="00193D33" w:rsidRPr="001E04CA">
        <w:t>n</w:t>
      </w:r>
      <w:r w:rsidR="00262C2E" w:rsidRPr="001E04CA">
        <w:t xml:space="preserve"> Einsatz </w:t>
      </w:r>
      <w:r w:rsidR="00193D33" w:rsidRPr="001E04CA">
        <w:t xml:space="preserve">für die Unabhängigkeit der USA in einer Zeit, in </w:t>
      </w:r>
      <w:r w:rsidR="002B5E8B" w:rsidRPr="001E04CA">
        <w:t xml:space="preserve">der </w:t>
      </w:r>
      <w:r w:rsidR="00622156" w:rsidRPr="001E04CA">
        <w:t xml:space="preserve">Sklaverei und Rassismus </w:t>
      </w:r>
      <w:r w:rsidR="00193D33" w:rsidRPr="001E04CA">
        <w:t xml:space="preserve">in </w:t>
      </w:r>
      <w:r w:rsidRPr="001E04CA">
        <w:t xml:space="preserve">Amerika </w:t>
      </w:r>
      <w:r w:rsidR="00193D33" w:rsidRPr="001E04CA">
        <w:t xml:space="preserve">zum Alltag gehörten, besonders würdigen. </w:t>
      </w:r>
      <w:r w:rsidR="00BA7994" w:rsidRPr="001E04CA">
        <w:t xml:space="preserve">Damit wird dieses Bilddokument zu einem wichtigen </w:t>
      </w:r>
      <w:r w:rsidR="00D0541C" w:rsidRPr="001E04CA">
        <w:t xml:space="preserve">historischen </w:t>
      </w:r>
      <w:r w:rsidR="00BA7994" w:rsidRPr="001E04CA">
        <w:t>Zeugnis</w:t>
      </w:r>
      <w:r w:rsidR="00D0541C" w:rsidRPr="001E04CA">
        <w:t xml:space="preserve"> des Kampf</w:t>
      </w:r>
      <w:r w:rsidR="00DE467F" w:rsidRPr="001E04CA">
        <w:t>e</w:t>
      </w:r>
      <w:r w:rsidR="00D0541C" w:rsidRPr="001E04CA">
        <w:t xml:space="preserve">s um </w:t>
      </w:r>
      <w:r w:rsidR="00DE467F" w:rsidRPr="001E04CA">
        <w:t>Unabhängigkeit</w:t>
      </w:r>
      <w:r w:rsidR="00D0541C" w:rsidRPr="001E04CA">
        <w:t xml:space="preserve">, für die sich alle </w:t>
      </w:r>
      <w:r w:rsidR="00C2005D" w:rsidRPr="001E04CA">
        <w:t>Amerikaner</w:t>
      </w:r>
      <w:r w:rsidRPr="001E04CA">
        <w:t>innen und Amerikaner</w:t>
      </w:r>
      <w:r w:rsidR="00DE467F" w:rsidRPr="001E04CA">
        <w:t>, Afroamerikaner</w:t>
      </w:r>
      <w:r w:rsidRPr="001E04CA">
        <w:t xml:space="preserve">innen und Afroamerikaner gemeinsam </w:t>
      </w:r>
      <w:r w:rsidR="00D0541C" w:rsidRPr="001E04CA">
        <w:t>einsetzten</w:t>
      </w:r>
      <w:r w:rsidR="00C2005D" w:rsidRPr="001E04CA">
        <w:t>.</w:t>
      </w:r>
    </w:p>
    <w:p w:rsidR="00042ABC" w:rsidRPr="001E04CA" w:rsidRDefault="00042ABC" w:rsidP="001E04CA">
      <w:pPr>
        <w:suppressAutoHyphens/>
        <w:spacing w:line="240" w:lineRule="auto"/>
      </w:pPr>
    </w:p>
    <w:p w:rsidR="00622156" w:rsidRPr="001E04CA" w:rsidRDefault="00042ABC" w:rsidP="001E04CA">
      <w:pPr>
        <w:suppressAutoHyphens/>
        <w:spacing w:line="240" w:lineRule="auto"/>
      </w:pPr>
      <w:r w:rsidRPr="001E04CA">
        <w:t>Diskutiert werden kann auch, dass sich im Ergebnis also zeigt, dass derselbe historische Sachverhalt ganz unterschiedlich bezüglich der inhaltlichen Fokussierung und Zielsetzung erzählt werden kann. Vergleiche dieser Art sind demnach notwendig und sinnvoll, vor allem wenn es sich um die gleiche Quellenart handelt. Ob und inwiefern die Quellenautorin</w:t>
      </w:r>
      <w:r w:rsidR="005C6C76">
        <w:t xml:space="preserve"> o</w:t>
      </w:r>
      <w:r w:rsidRPr="001E04CA">
        <w:t xml:space="preserve">der </w:t>
      </w:r>
      <w:r w:rsidR="005C6C76">
        <w:t xml:space="preserve">der </w:t>
      </w:r>
      <w:r w:rsidRPr="001E04CA">
        <w:t>Quellenautor die historische Faktizität einer deutenden Erzählabsicht untergeordnet hat (Einseitigkeit, Verfälschung usw.), kann eine quellenkritische Untersuchung der Perspektive erbringen.</w:t>
      </w:r>
    </w:p>
    <w:p w:rsidR="0002390F" w:rsidRDefault="0002390F" w:rsidP="001E04CA">
      <w:pPr>
        <w:suppressAutoHyphens/>
      </w:pPr>
    </w:p>
    <w:p w:rsidR="00950650" w:rsidRDefault="00950650" w:rsidP="001E04CA">
      <w:pPr>
        <w:suppressAutoHyphens/>
      </w:pPr>
    </w:p>
    <w:p w:rsidR="001E04CA" w:rsidRDefault="001E04CA" w:rsidP="001E04CA">
      <w:pPr>
        <w:suppressAutoHyphens/>
      </w:pPr>
    </w:p>
    <w:p w:rsidR="001E04CA" w:rsidRDefault="001E04CA" w:rsidP="001E04CA">
      <w:pPr>
        <w:suppressAutoHyphens/>
      </w:pPr>
    </w:p>
    <w:p w:rsidR="001E04CA" w:rsidRDefault="001E04CA" w:rsidP="001E04CA">
      <w:pPr>
        <w:suppressAutoHyphens/>
      </w:pPr>
    </w:p>
    <w:p w:rsidR="001E04CA" w:rsidRDefault="001E04CA" w:rsidP="001E04CA">
      <w:pPr>
        <w:suppressAutoHyphens/>
      </w:pPr>
    </w:p>
    <w:p w:rsidR="001E04CA" w:rsidRDefault="001E04CA" w:rsidP="001E04CA">
      <w:pPr>
        <w:suppressAutoHyphens/>
      </w:pPr>
    </w:p>
    <w:p w:rsidR="001E04CA" w:rsidRDefault="001E04CA" w:rsidP="001E04CA">
      <w:pPr>
        <w:suppressAutoHyphens/>
      </w:pPr>
    </w:p>
    <w:p w:rsidR="001E04CA" w:rsidRDefault="001E04CA" w:rsidP="001E04CA">
      <w:pPr>
        <w:suppressAutoHyphens/>
      </w:pPr>
    </w:p>
    <w:p w:rsidR="008119C5" w:rsidRPr="005C6C76" w:rsidRDefault="00E924E4" w:rsidP="00C2144F">
      <w:pPr>
        <w:rPr>
          <w:lang w:val="en-US"/>
        </w:rPr>
      </w:pPr>
      <w:r w:rsidRPr="00F66D5A">
        <w:rPr>
          <w:i/>
          <w:noProof/>
          <w:sz w:val="20"/>
          <w:szCs w:val="20"/>
          <w:lang w:eastAsia="de-DE"/>
        </w:rPr>
        <w:drawing>
          <wp:inline distT="0" distB="0" distL="0" distR="0">
            <wp:extent cx="1227411" cy="429442"/>
            <wp:effectExtent l="19050" t="0" r="0" b="0"/>
            <wp:docPr id="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2" cstate="print"/>
                    <a:stretch>
                      <a:fillRect/>
                    </a:stretch>
                  </pic:blipFill>
                  <pic:spPr>
                    <a:xfrm>
                      <a:off x="0" y="0"/>
                      <a:ext cx="1227411" cy="429442"/>
                    </a:xfrm>
                    <a:prstGeom prst="rect">
                      <a:avLst/>
                    </a:prstGeom>
                  </pic:spPr>
                </pic:pic>
              </a:graphicData>
            </a:graphic>
          </wp:inline>
        </w:drawing>
      </w:r>
      <w:r w:rsidR="002B5E8B" w:rsidRPr="005C6C76">
        <w:rPr>
          <w:lang w:val="en-US"/>
        </w:rPr>
        <w:t xml:space="preserve"> </w:t>
      </w:r>
      <w:r w:rsidRPr="005C6C76">
        <w:rPr>
          <w:lang w:val="en-US"/>
        </w:rPr>
        <w:t>LISUM</w:t>
      </w:r>
      <w:r w:rsidR="001E04CA" w:rsidRPr="005C6C76">
        <w:rPr>
          <w:lang w:val="en-US"/>
        </w:rPr>
        <w:t xml:space="preserve"> 2017</w:t>
      </w:r>
    </w:p>
    <w:p w:rsidR="001E04CA" w:rsidRPr="001E04CA" w:rsidRDefault="001E04CA" w:rsidP="00C2144F">
      <w:pPr>
        <w:rPr>
          <w:color w:val="000000" w:themeColor="text1"/>
          <w:sz w:val="16"/>
          <w:szCs w:val="16"/>
          <w:lang w:val="en-US"/>
        </w:rPr>
      </w:pPr>
      <w:r w:rsidRPr="001E04CA">
        <w:rPr>
          <w:color w:val="000000" w:themeColor="text1"/>
          <w:sz w:val="16"/>
          <w:szCs w:val="16"/>
          <w:lang w:val="en-US"/>
        </w:rPr>
        <w:t xml:space="preserve">M1: </w:t>
      </w:r>
      <w:hyperlink r:id="rId17" w:anchor="/media/File:Boston_Massacre.jpg" w:history="1">
        <w:r w:rsidRPr="001E04CA">
          <w:rPr>
            <w:rStyle w:val="Hyperlink"/>
            <w:color w:val="000000" w:themeColor="text1"/>
            <w:sz w:val="16"/>
            <w:szCs w:val="16"/>
            <w:u w:val="none"/>
            <w:lang w:val="en-US"/>
          </w:rPr>
          <w:t>https://de.wikipedia.org/wiki/Massaker_von_Boston#/media/File:Boston_Massacre.jpg</w:t>
        </w:r>
      </w:hyperlink>
      <w:r w:rsidRPr="001E04CA">
        <w:rPr>
          <w:color w:val="000000" w:themeColor="text1"/>
          <w:sz w:val="16"/>
          <w:szCs w:val="16"/>
          <w:lang w:val="en-US"/>
        </w:rPr>
        <w:t xml:space="preserve"> (</w:t>
      </w:r>
      <w:proofErr w:type="spellStart"/>
      <w:r w:rsidRPr="001E04CA">
        <w:rPr>
          <w:color w:val="000000" w:themeColor="text1"/>
          <w:sz w:val="16"/>
          <w:szCs w:val="16"/>
          <w:lang w:val="en-US"/>
        </w:rPr>
        <w:t>Zugriff</w:t>
      </w:r>
      <w:proofErr w:type="spellEnd"/>
      <w:r w:rsidRPr="001E04CA">
        <w:rPr>
          <w:color w:val="000000" w:themeColor="text1"/>
          <w:sz w:val="16"/>
          <w:szCs w:val="16"/>
          <w:lang w:val="en-US"/>
        </w:rPr>
        <w:t xml:space="preserve"> 22.04.2016) Public Domain</w:t>
      </w:r>
    </w:p>
    <w:p w:rsidR="001E04CA" w:rsidRPr="001E04CA" w:rsidRDefault="001E04CA" w:rsidP="00C2144F">
      <w:pPr>
        <w:rPr>
          <w:sz w:val="2"/>
          <w:szCs w:val="2"/>
          <w:lang w:val="en-US"/>
        </w:rPr>
      </w:pPr>
      <w:r w:rsidRPr="001E04CA">
        <w:rPr>
          <w:color w:val="000000" w:themeColor="text1"/>
          <w:sz w:val="16"/>
          <w:szCs w:val="16"/>
          <w:lang w:val="en-US"/>
        </w:rPr>
        <w:t xml:space="preserve">M2: </w:t>
      </w:r>
      <w:hyperlink r:id="rId18" w:anchor="/media/File:Boston_massacre2.gif" w:history="1">
        <w:r w:rsidRPr="001E04CA">
          <w:rPr>
            <w:rStyle w:val="Hyperlink"/>
            <w:color w:val="000000" w:themeColor="text1"/>
            <w:sz w:val="16"/>
            <w:szCs w:val="16"/>
            <w:u w:val="none"/>
            <w:lang w:val="en-US"/>
          </w:rPr>
          <w:t>https://de.wikipedia.org/wiki/Massaker_von_Boston#/media/File:Boston_massacre2.gif</w:t>
        </w:r>
      </w:hyperlink>
      <w:r w:rsidRPr="001E04CA">
        <w:rPr>
          <w:color w:val="000000" w:themeColor="text1"/>
          <w:sz w:val="16"/>
          <w:szCs w:val="16"/>
          <w:lang w:val="en-US"/>
        </w:rPr>
        <w:t xml:space="preserve"> (</w:t>
      </w:r>
      <w:proofErr w:type="spellStart"/>
      <w:r w:rsidRPr="001E04CA">
        <w:rPr>
          <w:color w:val="000000" w:themeColor="text1"/>
          <w:sz w:val="16"/>
          <w:szCs w:val="16"/>
          <w:lang w:val="en-US"/>
        </w:rPr>
        <w:t>Zugriff</w:t>
      </w:r>
      <w:proofErr w:type="spellEnd"/>
      <w:r w:rsidRPr="001E04CA">
        <w:rPr>
          <w:color w:val="000000" w:themeColor="text1"/>
          <w:sz w:val="16"/>
          <w:szCs w:val="16"/>
          <w:lang w:val="en-US"/>
        </w:rPr>
        <w:t xml:space="preserve"> am 22.04.2016)</w:t>
      </w:r>
      <w:r w:rsidR="0052568D">
        <w:rPr>
          <w:color w:val="000000" w:themeColor="text1"/>
          <w:sz w:val="16"/>
          <w:szCs w:val="16"/>
          <w:lang w:val="en-US"/>
        </w:rPr>
        <w:t xml:space="preserve"> </w:t>
      </w:r>
      <w:r w:rsidRPr="001E04CA">
        <w:rPr>
          <w:color w:val="000000" w:themeColor="text1"/>
          <w:sz w:val="16"/>
          <w:szCs w:val="16"/>
          <w:lang w:val="en-US"/>
        </w:rPr>
        <w:t>Public Domain</w:t>
      </w:r>
    </w:p>
    <w:sectPr w:rsidR="001E04CA" w:rsidRPr="001E04CA"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BEA" w:rsidRDefault="00BD4BEA" w:rsidP="00837EC7">
      <w:pPr>
        <w:spacing w:line="240" w:lineRule="auto"/>
      </w:pPr>
      <w:r>
        <w:separator/>
      </w:r>
    </w:p>
  </w:endnote>
  <w:endnote w:type="continuationSeparator" w:id="0">
    <w:p w:rsidR="00BD4BEA" w:rsidRDefault="00BD4BEA"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0483"/>
      <w:docPartObj>
        <w:docPartGallery w:val="Page Numbers (Bottom of Page)"/>
        <w:docPartUnique/>
      </w:docPartObj>
    </w:sdtPr>
    <w:sdtContent>
      <w:sdt>
        <w:sdtPr>
          <w:id w:val="1021177321"/>
          <w:docPartObj>
            <w:docPartGallery w:val="Page Numbers (Top of Page)"/>
            <w:docPartUnique/>
          </w:docPartObj>
        </w:sdtPr>
        <w:sdtContent>
          <w:p w:rsidR="00042ABC" w:rsidRDefault="00042ABC">
            <w:pPr>
              <w:pStyle w:val="Fuzeile"/>
              <w:jc w:val="right"/>
            </w:pPr>
            <w:r>
              <w:t xml:space="preserve">Seite </w:t>
            </w:r>
            <w:r w:rsidR="005B6A7E">
              <w:rPr>
                <w:b/>
                <w:sz w:val="24"/>
                <w:szCs w:val="24"/>
              </w:rPr>
              <w:fldChar w:fldCharType="begin"/>
            </w:r>
            <w:r>
              <w:rPr>
                <w:b/>
              </w:rPr>
              <w:instrText>PAGE</w:instrText>
            </w:r>
            <w:r w:rsidR="005B6A7E">
              <w:rPr>
                <w:b/>
                <w:sz w:val="24"/>
                <w:szCs w:val="24"/>
              </w:rPr>
              <w:fldChar w:fldCharType="separate"/>
            </w:r>
            <w:r w:rsidR="00D8185B">
              <w:rPr>
                <w:b/>
                <w:noProof/>
              </w:rPr>
              <w:t>1</w:t>
            </w:r>
            <w:r w:rsidR="005B6A7E">
              <w:rPr>
                <w:b/>
                <w:sz w:val="24"/>
                <w:szCs w:val="24"/>
              </w:rPr>
              <w:fldChar w:fldCharType="end"/>
            </w:r>
            <w:r>
              <w:t xml:space="preserve"> von </w:t>
            </w:r>
            <w:r w:rsidR="005B6A7E">
              <w:rPr>
                <w:b/>
                <w:sz w:val="24"/>
                <w:szCs w:val="24"/>
              </w:rPr>
              <w:fldChar w:fldCharType="begin"/>
            </w:r>
            <w:r>
              <w:rPr>
                <w:b/>
              </w:rPr>
              <w:instrText>NUMPAGES</w:instrText>
            </w:r>
            <w:r w:rsidR="005B6A7E">
              <w:rPr>
                <w:b/>
                <w:sz w:val="24"/>
                <w:szCs w:val="24"/>
              </w:rPr>
              <w:fldChar w:fldCharType="separate"/>
            </w:r>
            <w:r w:rsidR="00D8185B">
              <w:rPr>
                <w:b/>
                <w:noProof/>
              </w:rPr>
              <w:t>4</w:t>
            </w:r>
            <w:r w:rsidR="005B6A7E">
              <w:rPr>
                <w:b/>
                <w:sz w:val="24"/>
                <w:szCs w:val="24"/>
              </w:rPr>
              <w:fldChar w:fldCharType="end"/>
            </w:r>
          </w:p>
        </w:sdtContent>
      </w:sdt>
    </w:sdtContent>
  </w:sdt>
  <w:p w:rsidR="00042ABC" w:rsidRDefault="00042ABC" w:rsidP="00937B60">
    <w:pPr>
      <w:pStyle w:val="Fuzeile"/>
      <w:tabs>
        <w:tab w:val="clear" w:pos="453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BEA" w:rsidRDefault="00BD4BEA" w:rsidP="00837EC7">
      <w:pPr>
        <w:spacing w:line="240" w:lineRule="auto"/>
      </w:pPr>
      <w:r>
        <w:separator/>
      </w:r>
    </w:p>
  </w:footnote>
  <w:footnote w:type="continuationSeparator" w:id="0">
    <w:p w:rsidR="00BD4BEA" w:rsidRDefault="00BD4BEA"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BC" w:rsidRPr="00142DFA" w:rsidRDefault="00042ABC"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6BB624B"/>
    <w:multiLevelType w:val="hybridMultilevel"/>
    <w:tmpl w:val="6772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C450F"/>
    <w:multiLevelType w:val="hybridMultilevel"/>
    <w:tmpl w:val="7BF27834"/>
    <w:lvl w:ilvl="0" w:tplc="9DE6144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F654E81"/>
    <w:multiLevelType w:val="hybridMultilevel"/>
    <w:tmpl w:val="E1AABF36"/>
    <w:lvl w:ilvl="0" w:tplc="B79EB524">
      <w:start w:val="1"/>
      <w:numFmt w:val="bullet"/>
      <w:lvlText w:val="­"/>
      <w:lvlJc w:val="left"/>
      <w:pPr>
        <w:ind w:left="1068" w:hanging="360"/>
      </w:pPr>
      <w:rPr>
        <w:rFonts w:ascii="Courier New" w:hAnsi="Courier New"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073502"/>
    <w:multiLevelType w:val="hybridMultilevel"/>
    <w:tmpl w:val="B0066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EA7DAD"/>
    <w:multiLevelType w:val="hybridMultilevel"/>
    <w:tmpl w:val="FB7690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4B371B4"/>
    <w:multiLevelType w:val="hybridMultilevel"/>
    <w:tmpl w:val="8EB64428"/>
    <w:lvl w:ilvl="0" w:tplc="9DE614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BA41F4F"/>
    <w:multiLevelType w:val="hybridMultilevel"/>
    <w:tmpl w:val="CE60EBA2"/>
    <w:lvl w:ilvl="0" w:tplc="475A97EC">
      <w:start w:val="1"/>
      <w:numFmt w:val="decimal"/>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num>
  <w:num w:numId="2">
    <w:abstractNumId w:val="6"/>
  </w:num>
  <w:num w:numId="3">
    <w:abstractNumId w:val="11"/>
  </w:num>
  <w:num w:numId="4">
    <w:abstractNumId w:val="7"/>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2"/>
  </w:num>
  <w:num w:numId="12">
    <w:abstractNumId w:val="13"/>
  </w:num>
  <w:num w:numId="13">
    <w:abstractNumId w:val="12"/>
  </w:num>
  <w:num w:numId="14">
    <w:abstractNumId w:val="0"/>
  </w:num>
  <w:num w:numId="15">
    <w:abstractNumId w:val="1"/>
  </w:num>
  <w:num w:numId="16">
    <w:abstractNumId w:val="8"/>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511575"/>
    <w:rsid w:val="000057B8"/>
    <w:rsid w:val="0002390F"/>
    <w:rsid w:val="0004165F"/>
    <w:rsid w:val="00042ABC"/>
    <w:rsid w:val="000602E5"/>
    <w:rsid w:val="000636E4"/>
    <w:rsid w:val="000723CA"/>
    <w:rsid w:val="00094320"/>
    <w:rsid w:val="000A2A61"/>
    <w:rsid w:val="000A4B8B"/>
    <w:rsid w:val="000C1872"/>
    <w:rsid w:val="000D2F5A"/>
    <w:rsid w:val="000E10E7"/>
    <w:rsid w:val="000E1B86"/>
    <w:rsid w:val="001167AE"/>
    <w:rsid w:val="001302CE"/>
    <w:rsid w:val="00133562"/>
    <w:rsid w:val="001344ED"/>
    <w:rsid w:val="00136172"/>
    <w:rsid w:val="00142DFA"/>
    <w:rsid w:val="00154C95"/>
    <w:rsid w:val="00155F4E"/>
    <w:rsid w:val="00162503"/>
    <w:rsid w:val="001634E6"/>
    <w:rsid w:val="00163D87"/>
    <w:rsid w:val="0016723E"/>
    <w:rsid w:val="00170C14"/>
    <w:rsid w:val="00185133"/>
    <w:rsid w:val="00193D33"/>
    <w:rsid w:val="001A6150"/>
    <w:rsid w:val="001A71B9"/>
    <w:rsid w:val="001B043E"/>
    <w:rsid w:val="001B70B9"/>
    <w:rsid w:val="001C0613"/>
    <w:rsid w:val="001C3197"/>
    <w:rsid w:val="001C3232"/>
    <w:rsid w:val="001E04CA"/>
    <w:rsid w:val="001F319E"/>
    <w:rsid w:val="00202F49"/>
    <w:rsid w:val="0020595E"/>
    <w:rsid w:val="00206E1F"/>
    <w:rsid w:val="002348B8"/>
    <w:rsid w:val="00244EC0"/>
    <w:rsid w:val="00262C2E"/>
    <w:rsid w:val="00270DFC"/>
    <w:rsid w:val="0028583D"/>
    <w:rsid w:val="002A04B8"/>
    <w:rsid w:val="002A2294"/>
    <w:rsid w:val="002A50B3"/>
    <w:rsid w:val="002B14FC"/>
    <w:rsid w:val="002B5E8B"/>
    <w:rsid w:val="002D3F70"/>
    <w:rsid w:val="002D55C9"/>
    <w:rsid w:val="002E1682"/>
    <w:rsid w:val="002E47BA"/>
    <w:rsid w:val="002E5A6A"/>
    <w:rsid w:val="002F3A84"/>
    <w:rsid w:val="002F3C8C"/>
    <w:rsid w:val="00300E1A"/>
    <w:rsid w:val="00315C3D"/>
    <w:rsid w:val="00321743"/>
    <w:rsid w:val="00334567"/>
    <w:rsid w:val="00362E57"/>
    <w:rsid w:val="00363539"/>
    <w:rsid w:val="00365E0B"/>
    <w:rsid w:val="00381AB2"/>
    <w:rsid w:val="00395D5D"/>
    <w:rsid w:val="003963FB"/>
    <w:rsid w:val="003A1FC0"/>
    <w:rsid w:val="003C72C6"/>
    <w:rsid w:val="003D3306"/>
    <w:rsid w:val="003F4234"/>
    <w:rsid w:val="003F49B5"/>
    <w:rsid w:val="0040115E"/>
    <w:rsid w:val="004072A0"/>
    <w:rsid w:val="00410F2A"/>
    <w:rsid w:val="00411347"/>
    <w:rsid w:val="00420481"/>
    <w:rsid w:val="00424890"/>
    <w:rsid w:val="00432230"/>
    <w:rsid w:val="00445672"/>
    <w:rsid w:val="0045370E"/>
    <w:rsid w:val="00456E94"/>
    <w:rsid w:val="00467ABE"/>
    <w:rsid w:val="0047051C"/>
    <w:rsid w:val="0047310C"/>
    <w:rsid w:val="004851BE"/>
    <w:rsid w:val="0049671A"/>
    <w:rsid w:val="00496D76"/>
    <w:rsid w:val="004A2744"/>
    <w:rsid w:val="004B14E8"/>
    <w:rsid w:val="004C485B"/>
    <w:rsid w:val="004C5D31"/>
    <w:rsid w:val="004C7E8F"/>
    <w:rsid w:val="004F3656"/>
    <w:rsid w:val="005052CB"/>
    <w:rsid w:val="00511575"/>
    <w:rsid w:val="00513D91"/>
    <w:rsid w:val="0052043C"/>
    <w:rsid w:val="0052568D"/>
    <w:rsid w:val="0052717A"/>
    <w:rsid w:val="005332B2"/>
    <w:rsid w:val="00537A2A"/>
    <w:rsid w:val="005440A2"/>
    <w:rsid w:val="00561823"/>
    <w:rsid w:val="005812BA"/>
    <w:rsid w:val="0059532A"/>
    <w:rsid w:val="005960DF"/>
    <w:rsid w:val="005A440F"/>
    <w:rsid w:val="005B5CEA"/>
    <w:rsid w:val="005B6A7E"/>
    <w:rsid w:val="005C16CC"/>
    <w:rsid w:val="005C38A2"/>
    <w:rsid w:val="005C6C76"/>
    <w:rsid w:val="005E21A5"/>
    <w:rsid w:val="005F1ACA"/>
    <w:rsid w:val="00622156"/>
    <w:rsid w:val="00624BAE"/>
    <w:rsid w:val="006250B7"/>
    <w:rsid w:val="006353D6"/>
    <w:rsid w:val="00677337"/>
    <w:rsid w:val="00685B45"/>
    <w:rsid w:val="006949A3"/>
    <w:rsid w:val="006A0836"/>
    <w:rsid w:val="006A22F8"/>
    <w:rsid w:val="006A599E"/>
    <w:rsid w:val="006C713F"/>
    <w:rsid w:val="006D084A"/>
    <w:rsid w:val="006D1F6C"/>
    <w:rsid w:val="006D5EEA"/>
    <w:rsid w:val="006D719E"/>
    <w:rsid w:val="006E48F6"/>
    <w:rsid w:val="007024FB"/>
    <w:rsid w:val="007278E4"/>
    <w:rsid w:val="007357B6"/>
    <w:rsid w:val="007621DD"/>
    <w:rsid w:val="007643DF"/>
    <w:rsid w:val="007A6983"/>
    <w:rsid w:val="007C1D1C"/>
    <w:rsid w:val="007C32D6"/>
    <w:rsid w:val="007C3E2C"/>
    <w:rsid w:val="007C6C71"/>
    <w:rsid w:val="007D6BA1"/>
    <w:rsid w:val="00800BD6"/>
    <w:rsid w:val="008109AD"/>
    <w:rsid w:val="008119C5"/>
    <w:rsid w:val="00820851"/>
    <w:rsid w:val="00825908"/>
    <w:rsid w:val="00826C8F"/>
    <w:rsid w:val="00837EC7"/>
    <w:rsid w:val="00861684"/>
    <w:rsid w:val="008829F2"/>
    <w:rsid w:val="00885C24"/>
    <w:rsid w:val="008A1768"/>
    <w:rsid w:val="008A7F60"/>
    <w:rsid w:val="008B1781"/>
    <w:rsid w:val="008B1D49"/>
    <w:rsid w:val="008B6E6E"/>
    <w:rsid w:val="008E2ED1"/>
    <w:rsid w:val="008E7D45"/>
    <w:rsid w:val="008F78E6"/>
    <w:rsid w:val="00937B60"/>
    <w:rsid w:val="00950650"/>
    <w:rsid w:val="00954AAB"/>
    <w:rsid w:val="009551DB"/>
    <w:rsid w:val="0095558E"/>
    <w:rsid w:val="00957068"/>
    <w:rsid w:val="0097126A"/>
    <w:rsid w:val="00971722"/>
    <w:rsid w:val="00981B43"/>
    <w:rsid w:val="009943FC"/>
    <w:rsid w:val="009A1D85"/>
    <w:rsid w:val="009B046A"/>
    <w:rsid w:val="009B3B01"/>
    <w:rsid w:val="009B6938"/>
    <w:rsid w:val="009D2D5F"/>
    <w:rsid w:val="009F42E4"/>
    <w:rsid w:val="00A20523"/>
    <w:rsid w:val="00A25D2A"/>
    <w:rsid w:val="00A26FD6"/>
    <w:rsid w:val="00A366CC"/>
    <w:rsid w:val="00A57E9B"/>
    <w:rsid w:val="00A804F8"/>
    <w:rsid w:val="00A828A1"/>
    <w:rsid w:val="00A973E5"/>
    <w:rsid w:val="00AB509B"/>
    <w:rsid w:val="00AB7F44"/>
    <w:rsid w:val="00AD39E6"/>
    <w:rsid w:val="00AD4964"/>
    <w:rsid w:val="00AD54F8"/>
    <w:rsid w:val="00AE2D84"/>
    <w:rsid w:val="00AE3A55"/>
    <w:rsid w:val="00AE42FE"/>
    <w:rsid w:val="00AE6DEB"/>
    <w:rsid w:val="00AF2B93"/>
    <w:rsid w:val="00B02A7E"/>
    <w:rsid w:val="00B14E78"/>
    <w:rsid w:val="00B3248C"/>
    <w:rsid w:val="00B4035B"/>
    <w:rsid w:val="00B45AEB"/>
    <w:rsid w:val="00B542E5"/>
    <w:rsid w:val="00B75AB1"/>
    <w:rsid w:val="00B800CD"/>
    <w:rsid w:val="00B83C0F"/>
    <w:rsid w:val="00B85AFB"/>
    <w:rsid w:val="00B94BD8"/>
    <w:rsid w:val="00B9655B"/>
    <w:rsid w:val="00BA7994"/>
    <w:rsid w:val="00BC2437"/>
    <w:rsid w:val="00BC35E6"/>
    <w:rsid w:val="00BC763D"/>
    <w:rsid w:val="00BD4BEA"/>
    <w:rsid w:val="00BD7E76"/>
    <w:rsid w:val="00BE1914"/>
    <w:rsid w:val="00BE2413"/>
    <w:rsid w:val="00BE3AD8"/>
    <w:rsid w:val="00BE7704"/>
    <w:rsid w:val="00BF22FF"/>
    <w:rsid w:val="00BF2994"/>
    <w:rsid w:val="00BF4880"/>
    <w:rsid w:val="00BF6D1A"/>
    <w:rsid w:val="00C01D4F"/>
    <w:rsid w:val="00C16860"/>
    <w:rsid w:val="00C2005D"/>
    <w:rsid w:val="00C2144F"/>
    <w:rsid w:val="00C219D2"/>
    <w:rsid w:val="00C2632F"/>
    <w:rsid w:val="00C362D6"/>
    <w:rsid w:val="00C47F23"/>
    <w:rsid w:val="00C61307"/>
    <w:rsid w:val="00C6552D"/>
    <w:rsid w:val="00C752F4"/>
    <w:rsid w:val="00C80DB7"/>
    <w:rsid w:val="00CB3549"/>
    <w:rsid w:val="00CF3AD7"/>
    <w:rsid w:val="00D0541C"/>
    <w:rsid w:val="00D0707C"/>
    <w:rsid w:val="00D226DE"/>
    <w:rsid w:val="00D270BC"/>
    <w:rsid w:val="00D317BB"/>
    <w:rsid w:val="00D41BE0"/>
    <w:rsid w:val="00D47E9C"/>
    <w:rsid w:val="00D54C6F"/>
    <w:rsid w:val="00D8081D"/>
    <w:rsid w:val="00D8185B"/>
    <w:rsid w:val="00D92902"/>
    <w:rsid w:val="00D96E14"/>
    <w:rsid w:val="00DC48D3"/>
    <w:rsid w:val="00DC762A"/>
    <w:rsid w:val="00DD0C30"/>
    <w:rsid w:val="00DE40B6"/>
    <w:rsid w:val="00DE467F"/>
    <w:rsid w:val="00DF308F"/>
    <w:rsid w:val="00E106CC"/>
    <w:rsid w:val="00E16A0E"/>
    <w:rsid w:val="00E16B27"/>
    <w:rsid w:val="00E579BF"/>
    <w:rsid w:val="00E72519"/>
    <w:rsid w:val="00E766EC"/>
    <w:rsid w:val="00E84ADD"/>
    <w:rsid w:val="00E85DB9"/>
    <w:rsid w:val="00E86529"/>
    <w:rsid w:val="00E924E4"/>
    <w:rsid w:val="00EA1278"/>
    <w:rsid w:val="00EA4734"/>
    <w:rsid w:val="00EA5291"/>
    <w:rsid w:val="00EA5D23"/>
    <w:rsid w:val="00EA7922"/>
    <w:rsid w:val="00EB070D"/>
    <w:rsid w:val="00EC1F75"/>
    <w:rsid w:val="00EC51CF"/>
    <w:rsid w:val="00EC68C4"/>
    <w:rsid w:val="00ED0EC3"/>
    <w:rsid w:val="00ED7C1D"/>
    <w:rsid w:val="00EE1EB1"/>
    <w:rsid w:val="00F17F92"/>
    <w:rsid w:val="00F2257F"/>
    <w:rsid w:val="00F372D1"/>
    <w:rsid w:val="00F400C5"/>
    <w:rsid w:val="00F501E6"/>
    <w:rsid w:val="00F5187C"/>
    <w:rsid w:val="00F53101"/>
    <w:rsid w:val="00F66D5A"/>
    <w:rsid w:val="00F729A8"/>
    <w:rsid w:val="00F86862"/>
    <w:rsid w:val="00F97C8E"/>
    <w:rsid w:val="00FA0BB9"/>
    <w:rsid w:val="00FA1794"/>
    <w:rsid w:val="00FC3144"/>
    <w:rsid w:val="00FC4097"/>
    <w:rsid w:val="00FE1F41"/>
    <w:rsid w:val="00FF0764"/>
    <w:rsid w:val="00FF5E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KeinLeerraum">
    <w:name w:val="No Spacing"/>
    <w:uiPriority w:val="1"/>
    <w:qFormat/>
    <w:rsid w:val="000E10E7"/>
    <w:rPr>
      <w:sz w:val="22"/>
      <w:szCs w:val="22"/>
      <w:lang w:eastAsia="en-US"/>
    </w:rPr>
  </w:style>
  <w:style w:type="character" w:styleId="Hyperlink">
    <w:name w:val="Hyperlink"/>
    <w:basedOn w:val="Absatz-Standardschriftart"/>
    <w:uiPriority w:val="99"/>
    <w:unhideWhenUsed/>
    <w:rsid w:val="000E10E7"/>
    <w:rPr>
      <w:color w:val="0000FF"/>
      <w:u w:val="single"/>
    </w:rPr>
  </w:style>
  <w:style w:type="character" w:styleId="Zeilennummer">
    <w:name w:val="line number"/>
    <w:basedOn w:val="Absatz-Standardschriftart"/>
    <w:uiPriority w:val="99"/>
    <w:semiHidden/>
    <w:unhideWhenUsed/>
    <w:rsid w:val="000E10E7"/>
  </w:style>
  <w:style w:type="character" w:customStyle="1" w:styleId="mw-mmv-title">
    <w:name w:val="mw-mmv-title"/>
    <w:basedOn w:val="Absatz-Standardschriftart"/>
    <w:rsid w:val="001A6150"/>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wikipedia.org/wiki/Massaker_von_Boston" TargetMode="External"/><Relationship Id="rId18" Type="http://schemas.openxmlformats.org/officeDocument/2006/relationships/hyperlink" Target="https://de.wikipedia.org/wiki/Massaker_von_Bost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e.wikipedia.org/wiki/Massaker_von_Boston" TargetMode="External"/><Relationship Id="rId2" Type="http://schemas.openxmlformats.org/officeDocument/2006/relationships/numbering" Target="numbering.xml"/><Relationship Id="rId16" Type="http://schemas.openxmlformats.org/officeDocument/2006/relationships/hyperlink" Target="https://de.wikipedia.org/wiki/Massaker_von_Bost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de.wikipedia.org/wiki/Massaker_von_Boston"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wikipedia.org/wiki/Massaker_von_Bost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E353B-A071-43B4-B8A9-5B84B41A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Foerster</cp:lastModifiedBy>
  <cp:revision>3</cp:revision>
  <cp:lastPrinted>2016-05-31T14:27:00Z</cp:lastPrinted>
  <dcterms:created xsi:type="dcterms:W3CDTF">2017-07-24T08:41:00Z</dcterms:created>
  <dcterms:modified xsi:type="dcterms:W3CDTF">2017-07-24T10:00:00Z</dcterms:modified>
</cp:coreProperties>
</file>