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9D7B23">
      <w:pPr>
        <w:suppressAutoHyphens/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9D7B23" w:rsidRDefault="009D7B23" w:rsidP="009D7B23">
      <w:pPr>
        <w:suppressAutoHyphens/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9D7B23">
            <w:pPr>
              <w:suppressAutoHyphens/>
              <w:spacing w:before="40" w:after="40" w:line="240" w:lineRule="auto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877858" w:rsidP="009D7B23">
            <w:pPr>
              <w:suppressAutoHyphens/>
              <w:spacing w:before="40" w:after="40" w:line="240" w:lineRule="auto"/>
            </w:pPr>
            <w:r>
              <w:t>Geschichte</w:t>
            </w:r>
          </w:p>
        </w:tc>
      </w:tr>
      <w:tr w:rsidR="00420481" w:rsidRPr="008119C5" w:rsidTr="00C16860">
        <w:tc>
          <w:tcPr>
            <w:tcW w:w="2802" w:type="dxa"/>
          </w:tcPr>
          <w:p w:rsidR="00420481" w:rsidRPr="009B046A" w:rsidRDefault="00420481" w:rsidP="009D7B23">
            <w:pPr>
              <w:suppressAutoHyphens/>
              <w:spacing w:before="40" w:after="40" w:line="240" w:lineRule="auto"/>
              <w:rPr>
                <w:b/>
              </w:rPr>
            </w:pPr>
            <w:r w:rsidRPr="009B046A">
              <w:rPr>
                <w:b/>
              </w:rPr>
              <w:t>Name der Aufgabe</w:t>
            </w:r>
            <w:r w:rsidR="009B046A">
              <w:rPr>
                <w:b/>
              </w:rPr>
              <w:t xml:space="preserve"> </w:t>
            </w:r>
          </w:p>
        </w:tc>
        <w:tc>
          <w:tcPr>
            <w:tcW w:w="6433" w:type="dxa"/>
            <w:gridSpan w:val="3"/>
          </w:tcPr>
          <w:p w:rsidR="00420481" w:rsidRPr="00202F49" w:rsidRDefault="000D3107" w:rsidP="009D7B23">
            <w:pPr>
              <w:suppressAutoHyphens/>
              <w:spacing w:before="40" w:after="40" w:line="240" w:lineRule="auto"/>
            </w:pPr>
            <w:r>
              <w:t xml:space="preserve">Olympe de </w:t>
            </w:r>
            <w:proofErr w:type="spellStart"/>
            <w:r>
              <w:t>Gouges</w:t>
            </w:r>
            <w:proofErr w:type="spellEnd"/>
            <w:r>
              <w:t>: Rechte der Frau (1791)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9D7B23">
            <w:pPr>
              <w:suppressAutoHyphens/>
              <w:spacing w:before="40" w:after="40" w:line="240" w:lineRule="auto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0D3107" w:rsidP="009D7B23">
            <w:pPr>
              <w:suppressAutoHyphens/>
              <w:spacing w:before="40" w:after="40" w:line="240" w:lineRule="auto"/>
            </w:pPr>
            <w:r>
              <w:t xml:space="preserve">Methoden anwenden </w:t>
            </w:r>
            <w:r w:rsidR="00BA5518">
              <w:t>(Ge-K</w:t>
            </w:r>
            <w:r>
              <w:t>3</w:t>
            </w:r>
            <w:r w:rsidR="00BA5518">
              <w:t>)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9D7B23">
            <w:pPr>
              <w:tabs>
                <w:tab w:val="left" w:pos="1373"/>
              </w:tabs>
              <w:suppressAutoHyphens/>
              <w:spacing w:before="40" w:after="40" w:line="240" w:lineRule="auto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BA5518" w:rsidP="009D7B23">
            <w:pPr>
              <w:tabs>
                <w:tab w:val="left" w:pos="1373"/>
              </w:tabs>
              <w:suppressAutoHyphens/>
              <w:spacing w:before="40" w:after="40" w:line="240" w:lineRule="auto"/>
            </w:pPr>
            <w:r>
              <w:t xml:space="preserve">Historische </w:t>
            </w:r>
            <w:r w:rsidR="000D3107">
              <w:t>Informationen aus Materialien erschließen</w:t>
            </w:r>
            <w:r>
              <w:t xml:space="preserve"> (Ge-K</w:t>
            </w:r>
            <w:r w:rsidR="000D3107">
              <w:t>3</w:t>
            </w:r>
            <w:r>
              <w:t>.1)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9D7B23">
            <w:pPr>
              <w:tabs>
                <w:tab w:val="left" w:pos="1190"/>
              </w:tabs>
              <w:suppressAutoHyphens/>
              <w:spacing w:before="40" w:after="40" w:line="240" w:lineRule="auto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0D3107" w:rsidP="009D7B23">
            <w:pPr>
              <w:tabs>
                <w:tab w:val="left" w:pos="1190"/>
              </w:tabs>
              <w:suppressAutoHyphens/>
              <w:spacing w:before="40" w:after="40" w:line="240" w:lineRule="auto"/>
            </w:pPr>
            <w:r>
              <w:t>E/F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9D7B23">
            <w:pPr>
              <w:tabs>
                <w:tab w:val="left" w:pos="1190"/>
              </w:tabs>
              <w:suppressAutoHyphens/>
              <w:spacing w:before="40" w:after="40" w:line="240" w:lineRule="auto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0D3107" w:rsidRDefault="00877858" w:rsidP="009D7B23">
            <w:pPr>
              <w:tabs>
                <w:tab w:val="left" w:pos="1190"/>
              </w:tabs>
              <w:suppressAutoHyphens/>
              <w:spacing w:before="40" w:after="40" w:line="240" w:lineRule="auto"/>
            </w:pPr>
            <w:r>
              <w:t xml:space="preserve">Die Schülerinnen und Schüler können </w:t>
            </w:r>
          </w:p>
          <w:p w:rsidR="000D3107" w:rsidRDefault="000D3107" w:rsidP="009D7B23">
            <w:pPr>
              <w:pStyle w:val="Listenabsatz"/>
              <w:numPr>
                <w:ilvl w:val="0"/>
                <w:numId w:val="15"/>
              </w:numPr>
              <w:tabs>
                <w:tab w:val="left" w:pos="1190"/>
              </w:tabs>
              <w:suppressAutoHyphens/>
              <w:spacing w:before="40" w:after="40" w:line="240" w:lineRule="auto"/>
            </w:pPr>
            <w:r>
              <w:t xml:space="preserve">den Informationsgehalt einer Quelle oder Darstellung nach vorliegenden Kriterien untersuchen </w:t>
            </w:r>
          </w:p>
          <w:p w:rsidR="008E2ED1" w:rsidRPr="008A1768" w:rsidRDefault="000D3107" w:rsidP="009D7B23">
            <w:pPr>
              <w:pStyle w:val="Listenabsatz"/>
              <w:numPr>
                <w:ilvl w:val="0"/>
                <w:numId w:val="15"/>
              </w:numPr>
              <w:tabs>
                <w:tab w:val="left" w:pos="1190"/>
              </w:tabs>
              <w:suppressAutoHyphens/>
              <w:spacing w:before="40" w:after="40" w:line="240" w:lineRule="auto"/>
            </w:pPr>
            <w:r>
              <w:t>Informationen aus Quellen und Darstellungen in eigenen Worten wiedergeben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8119C5" w:rsidRDefault="00B94BD8" w:rsidP="009D7B23">
            <w:pPr>
              <w:tabs>
                <w:tab w:val="left" w:pos="1190"/>
              </w:tabs>
              <w:suppressAutoHyphens/>
              <w:spacing w:before="40" w:after="40" w:line="240" w:lineRule="auto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B94BD8" w:rsidRPr="00202F49" w:rsidRDefault="00877858" w:rsidP="009D7B23">
            <w:pPr>
              <w:tabs>
                <w:tab w:val="left" w:pos="1190"/>
              </w:tabs>
              <w:suppressAutoHyphens/>
              <w:spacing w:before="40" w:after="40" w:line="240" w:lineRule="auto"/>
            </w:pPr>
            <w:r>
              <w:t>3.</w:t>
            </w:r>
            <w:r w:rsidR="000D3107">
              <w:t xml:space="preserve">1 </w:t>
            </w:r>
            <w:r>
              <w:t xml:space="preserve">Basismodul </w:t>
            </w:r>
            <w:r w:rsidR="000D3107">
              <w:t>7</w:t>
            </w:r>
            <w:r>
              <w:t>/</w:t>
            </w:r>
            <w:r w:rsidR="000D3107">
              <w:t>8</w:t>
            </w:r>
            <w:r>
              <w:t xml:space="preserve"> (Ge-I</w:t>
            </w:r>
            <w:r w:rsidR="000D3107">
              <w:t>1.1</w:t>
            </w:r>
            <w:r>
              <w:t>)</w:t>
            </w:r>
            <w:r w:rsidR="000D3107">
              <w:t xml:space="preserve"> </w:t>
            </w:r>
            <w:proofErr w:type="spellStart"/>
            <w:r w:rsidR="000D3107">
              <w:t>Epochenvertiefung</w:t>
            </w:r>
            <w:proofErr w:type="spellEnd"/>
            <w:r w:rsidR="000D3107">
              <w:t xml:space="preserve">: Zeitalter der Revolutionen (ca. 1750 – ca. 1900) 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9D7B23">
            <w:pPr>
              <w:tabs>
                <w:tab w:val="left" w:pos="1190"/>
              </w:tabs>
              <w:suppressAutoHyphens/>
              <w:spacing w:before="40" w:after="40" w:line="240" w:lineRule="auto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Basiscurriculum (BC)</w:t>
            </w:r>
            <w:r w:rsidR="00C16860">
              <w:rPr>
                <w:b/>
              </w:rPr>
              <w:t xml:space="preserve"> oder übergreifenden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877858" w:rsidP="009D7B23">
            <w:pPr>
              <w:tabs>
                <w:tab w:val="left" w:pos="1190"/>
              </w:tabs>
              <w:suppressAutoHyphens/>
              <w:spacing w:before="40" w:after="40" w:line="240" w:lineRule="auto"/>
            </w:pPr>
            <w:r>
              <w:t>Sprachbildung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9D7B23">
            <w:pPr>
              <w:tabs>
                <w:tab w:val="left" w:pos="1190"/>
              </w:tabs>
              <w:suppressAutoHyphens/>
              <w:spacing w:before="40" w:after="40" w:line="240" w:lineRule="auto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877858" w:rsidRDefault="00877858" w:rsidP="009D7B23">
            <w:pPr>
              <w:tabs>
                <w:tab w:val="left" w:pos="1190"/>
              </w:tabs>
              <w:suppressAutoHyphens/>
              <w:spacing w:before="40" w:after="40" w:line="240" w:lineRule="auto"/>
            </w:pPr>
            <w:r>
              <w:t>1.3.2 Rezeption/Leseverstehen (SB-K2) - Texte verstehen und nutzen (SB-K2.1)</w:t>
            </w:r>
            <w:r>
              <w:br/>
              <w:t xml:space="preserve">D: </w:t>
            </w:r>
            <w:r w:rsidR="000D3107">
              <w:t xml:space="preserve">aus Texten gezielt </w:t>
            </w:r>
            <w:r w:rsidR="00BA5518">
              <w:t>Informationen er</w:t>
            </w:r>
            <w:r w:rsidR="000D3107">
              <w:t>mitteln (z. B. Fakten, Ereignisse, Themen)</w:t>
            </w:r>
            <w:r w:rsidR="00BA5518">
              <w:t xml:space="preserve"> </w:t>
            </w:r>
          </w:p>
          <w:p w:rsidR="00BA5518" w:rsidRDefault="00BA5518" w:rsidP="009D7B23">
            <w:pPr>
              <w:tabs>
                <w:tab w:val="left" w:pos="1190"/>
              </w:tabs>
              <w:suppressAutoHyphens/>
              <w:spacing w:before="40" w:after="40" w:line="240" w:lineRule="auto"/>
            </w:pPr>
            <w:r>
              <w:t>D: die Meinung der Autorin/des Autors zusammenfassend wiedergeben</w:t>
            </w:r>
          </w:p>
          <w:p w:rsidR="000D3107" w:rsidRDefault="000D3107" w:rsidP="009D7B23">
            <w:pPr>
              <w:tabs>
                <w:tab w:val="left" w:pos="1190"/>
              </w:tabs>
              <w:suppressAutoHyphens/>
              <w:spacing w:before="40" w:after="40" w:line="240" w:lineRule="auto"/>
            </w:pPr>
            <w:r>
              <w:t>D/G: den wesentlichen Inhalt von Texten zusammenfassen</w:t>
            </w:r>
          </w:p>
          <w:p w:rsidR="00877858" w:rsidRDefault="00877858" w:rsidP="009D7B23">
            <w:pPr>
              <w:pStyle w:val="KeinLeerraum"/>
              <w:suppressAutoHyphens/>
              <w:spacing w:before="40" w:after="40"/>
            </w:pPr>
            <w:r>
              <w:t>1.3.3 Produktion/Sprechen (SB-K3) - Sachverhalte und Informationen zusammenfassend wiedergeben (SB-K3.1)</w:t>
            </w:r>
          </w:p>
          <w:p w:rsidR="000D3107" w:rsidRDefault="000D3107" w:rsidP="009D7B23">
            <w:pPr>
              <w:pStyle w:val="KeinLeerraum"/>
              <w:suppressAutoHyphens/>
              <w:spacing w:before="40" w:after="40"/>
            </w:pPr>
            <w:r>
              <w:t>D: Sachverhalte und Abläufe beschreiben</w:t>
            </w:r>
          </w:p>
          <w:p w:rsidR="00877858" w:rsidRDefault="00877858" w:rsidP="009D7B23">
            <w:pPr>
              <w:pStyle w:val="KeinLeerraum"/>
              <w:suppressAutoHyphens/>
              <w:spacing w:before="40" w:after="40"/>
            </w:pPr>
            <w:r>
              <w:t xml:space="preserve">D: </w:t>
            </w:r>
            <w:r w:rsidR="00BA5518">
              <w:t>wichtige Informationen aus Texten auf der Grundlage eigener Notizen nennen</w:t>
            </w:r>
          </w:p>
          <w:p w:rsidR="000D3107" w:rsidRDefault="000D3107" w:rsidP="009D7B23">
            <w:pPr>
              <w:pStyle w:val="KeinLeerraum"/>
              <w:suppressAutoHyphens/>
              <w:spacing w:before="40" w:after="40"/>
            </w:pPr>
            <w:r>
              <w:t>D/G: Arbeitsergebnisse aus Einzel-, Partner- und Gruppenarbeit präsentieren</w:t>
            </w:r>
          </w:p>
          <w:p w:rsidR="000D3107" w:rsidRDefault="000D3107" w:rsidP="009D7B23">
            <w:pPr>
              <w:pStyle w:val="KeinLeerraum"/>
              <w:suppressAutoHyphens/>
              <w:spacing w:before="40" w:after="40"/>
            </w:pPr>
            <w:r>
              <w:t>Einen Vortrag halten (SB-K3.3)</w:t>
            </w:r>
          </w:p>
          <w:p w:rsidR="005C16CC" w:rsidRPr="00202F49" w:rsidRDefault="00BA5518" w:rsidP="009D7B23">
            <w:pPr>
              <w:pStyle w:val="KeinLeerraum"/>
              <w:suppressAutoHyphens/>
              <w:spacing w:before="40" w:after="40"/>
            </w:pPr>
            <w:r>
              <w:t xml:space="preserve">D: </w:t>
            </w:r>
            <w:r w:rsidR="000D3107">
              <w:t xml:space="preserve">mithilfe von Notizen und vorgegebenen Redemitteln (z. B. zu Beginn, anschließend, zum Schluss) </w:t>
            </w:r>
            <w:proofErr w:type="spellStart"/>
            <w:r w:rsidR="000D3107">
              <w:t>adressatenbezogen</w:t>
            </w:r>
            <w:proofErr w:type="spellEnd"/>
            <w:r w:rsidR="000D3107">
              <w:t xml:space="preserve"> vortragen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9D7B23">
            <w:pPr>
              <w:suppressAutoHyphens/>
              <w:spacing w:before="40" w:after="40" w:line="240" w:lineRule="auto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9D7B23">
            <w:pPr>
              <w:tabs>
                <w:tab w:val="left" w:pos="840"/>
              </w:tabs>
              <w:suppressAutoHyphens/>
              <w:spacing w:before="40" w:after="40" w:line="240" w:lineRule="auto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  <w:r w:rsidR="008A5E04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9D7B23">
            <w:pPr>
              <w:suppressAutoHyphens/>
              <w:spacing w:before="40" w:after="40" w:line="240" w:lineRule="auto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9D7B23">
            <w:pPr>
              <w:tabs>
                <w:tab w:val="left" w:pos="1735"/>
              </w:tabs>
              <w:suppressAutoHyphens/>
              <w:spacing w:before="40" w:after="40" w:line="240" w:lineRule="auto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9D7B23">
            <w:pPr>
              <w:suppressAutoHyphens/>
              <w:spacing w:before="40" w:after="40" w:line="240" w:lineRule="auto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9D7B23">
            <w:pPr>
              <w:suppressAutoHyphens/>
              <w:spacing w:before="40" w:after="40" w:line="240" w:lineRule="auto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9D7B23">
            <w:pPr>
              <w:suppressAutoHyphens/>
              <w:spacing w:before="40" w:after="40" w:line="240" w:lineRule="auto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  <w:r w:rsidR="000D3107">
              <w:rPr>
                <w:b/>
              </w:rPr>
              <w:t>7/8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9D7B23">
            <w:pPr>
              <w:suppressAutoHyphens/>
              <w:spacing w:before="40" w:after="40" w:line="240" w:lineRule="auto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9D7B23">
            <w:pPr>
              <w:suppressAutoHyphens/>
              <w:spacing w:before="40" w:after="40" w:line="240" w:lineRule="auto"/>
              <w:rPr>
                <w:b/>
              </w:rPr>
            </w:pPr>
            <w:proofErr w:type="spellStart"/>
            <w:r>
              <w:rPr>
                <w:b/>
              </w:rPr>
              <w:t>Verschlagwortung</w:t>
            </w:r>
            <w:proofErr w:type="spellEnd"/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0D3107" w:rsidP="009D7B23">
            <w:pPr>
              <w:suppressAutoHyphens/>
              <w:spacing w:before="40" w:after="40" w:line="240" w:lineRule="auto"/>
            </w:pPr>
            <w:r>
              <w:t>Französische Revolution (7/8), Geschlechteridentitäten (9/10)</w:t>
            </w:r>
          </w:p>
        </w:tc>
      </w:tr>
    </w:tbl>
    <w:p w:rsidR="00937B60" w:rsidRDefault="00937B60" w:rsidP="009D7B23">
      <w:pPr>
        <w:suppressAutoHyphens/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F5187C" w:rsidP="009D7B23">
      <w:pPr>
        <w:suppressAutoHyphens/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8A5E04" w:rsidRDefault="008A5E04" w:rsidP="009D7B23">
      <w:pPr>
        <w:suppressAutoHyphens/>
        <w:spacing w:line="240" w:lineRule="auto"/>
        <w:rPr>
          <w:rFonts w:eastAsiaTheme="minorHAnsi" w:cs="Arial"/>
        </w:rPr>
      </w:pPr>
    </w:p>
    <w:p w:rsidR="00E66492" w:rsidRPr="0028416A" w:rsidRDefault="00E66492" w:rsidP="009D7B23">
      <w:pPr>
        <w:suppressAutoHyphens/>
      </w:pPr>
      <w:r w:rsidRPr="0028416A">
        <w:t>Während der Französischen Revolution waren Freiheit, Gleichheit und Brüderlichkeit wichtige Forderung</w:t>
      </w:r>
      <w:r>
        <w:t xml:space="preserve">en. Im Jahr 1791 erhob die Frauenrechtlerin Olympe de </w:t>
      </w:r>
      <w:proofErr w:type="spellStart"/>
      <w:r>
        <w:t>Gouges</w:t>
      </w:r>
      <w:proofErr w:type="spellEnd"/>
      <w:r>
        <w:t xml:space="preserve"> wichtige politische</w:t>
      </w:r>
      <w:r w:rsidRPr="0028416A">
        <w:t xml:space="preserve"> Forderun</w:t>
      </w:r>
      <w:r>
        <w:t xml:space="preserve">gen. </w:t>
      </w:r>
      <w:r w:rsidR="009D5E68">
        <w:t xml:space="preserve">Informiere </w:t>
      </w:r>
      <w:r>
        <w:t xml:space="preserve">in einem kurzen Vortrag eine Freundin oder </w:t>
      </w:r>
      <w:r w:rsidR="009D5E68">
        <w:t>einen Freund darüber</w:t>
      </w:r>
      <w:r>
        <w:t>.</w:t>
      </w:r>
    </w:p>
    <w:p w:rsidR="00E66492" w:rsidRDefault="00E66492" w:rsidP="009D7B23">
      <w:pPr>
        <w:suppressAutoHyphens/>
        <w:spacing w:line="240" w:lineRule="auto"/>
        <w:contextualSpacing/>
      </w:pPr>
    </w:p>
    <w:p w:rsidR="00E66492" w:rsidRDefault="00E66492" w:rsidP="009D7B23">
      <w:pPr>
        <w:pStyle w:val="Listenabsatz"/>
        <w:numPr>
          <w:ilvl w:val="0"/>
          <w:numId w:val="16"/>
        </w:numPr>
        <w:suppressAutoHyphens/>
        <w:spacing w:line="240" w:lineRule="auto"/>
        <w:ind w:left="360"/>
        <w:contextualSpacing/>
      </w:pPr>
      <w:r>
        <w:t xml:space="preserve">Nenne die drei Forderungen, die Olympe des </w:t>
      </w:r>
      <w:proofErr w:type="spellStart"/>
      <w:r>
        <w:t>Gouges</w:t>
      </w:r>
      <w:proofErr w:type="spellEnd"/>
      <w:r>
        <w:t xml:space="preserve"> erhebt</w:t>
      </w:r>
      <w:r w:rsidR="009D5E68">
        <w:t>,</w:t>
      </w:r>
      <w:r>
        <w:t xml:space="preserve"> und formuliere sie in eigene Worte um.</w:t>
      </w:r>
    </w:p>
    <w:p w:rsidR="00E66492" w:rsidRDefault="00E66492" w:rsidP="009D7B23">
      <w:pPr>
        <w:pStyle w:val="Listenabsatz"/>
        <w:numPr>
          <w:ilvl w:val="0"/>
          <w:numId w:val="16"/>
        </w:numPr>
        <w:suppressAutoHyphens/>
        <w:spacing w:line="240" w:lineRule="auto"/>
        <w:ind w:left="360"/>
        <w:contextualSpacing/>
      </w:pPr>
      <w:r>
        <w:t xml:space="preserve">Nenne die Begründungen für mindestens zwei Forderungen und formuliere diese ebenfalls in eigene Worte um. </w:t>
      </w:r>
    </w:p>
    <w:p w:rsidR="00E66492" w:rsidRDefault="00E66492" w:rsidP="009D7B23">
      <w:pPr>
        <w:pStyle w:val="Listenabsatz"/>
        <w:numPr>
          <w:ilvl w:val="0"/>
          <w:numId w:val="16"/>
        </w:numPr>
        <w:suppressAutoHyphens/>
        <w:spacing w:line="240" w:lineRule="auto"/>
        <w:ind w:left="360"/>
        <w:contextualSpacing/>
      </w:pPr>
      <w:r>
        <w:t xml:space="preserve">Erkläre mit eigenen Worten, was Olympe de </w:t>
      </w:r>
      <w:proofErr w:type="spellStart"/>
      <w:r>
        <w:t>Gouges</w:t>
      </w:r>
      <w:proofErr w:type="spellEnd"/>
      <w:r>
        <w:t xml:space="preserve"> mit „Bewahrung der natürlichen und unverjährbaren Rechte von Mann und Frau“ meint: </w:t>
      </w:r>
    </w:p>
    <w:p w:rsidR="00E66492" w:rsidRDefault="00E66492" w:rsidP="009D7B23">
      <w:pPr>
        <w:suppressAutoHyphens/>
        <w:spacing w:line="240" w:lineRule="auto"/>
        <w:contextualSpacing/>
      </w:pPr>
    </w:p>
    <w:p w:rsidR="00E66492" w:rsidRPr="00284D55" w:rsidRDefault="00E66492" w:rsidP="009D7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60" w:after="120" w:line="240" w:lineRule="auto"/>
        <w:rPr>
          <w:rFonts w:ascii="Calibri" w:eastAsia="Times New Roman" w:hAnsi="Calibri"/>
          <w:b/>
          <w:sz w:val="24"/>
          <w:szCs w:val="24"/>
        </w:rPr>
      </w:pPr>
      <w:r w:rsidRPr="00284D55">
        <w:rPr>
          <w:rFonts w:ascii="Calibri" w:eastAsia="Times New Roman" w:hAnsi="Calibri"/>
          <w:b/>
          <w:sz w:val="24"/>
          <w:szCs w:val="24"/>
        </w:rPr>
        <w:t>Erklärung der Rechte der Frau und der Bürgerin</w:t>
      </w:r>
    </w:p>
    <w:p w:rsidR="00E66492" w:rsidRPr="00284D55" w:rsidRDefault="00E66492" w:rsidP="009D7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/>
        <w:rPr>
          <w:rFonts w:ascii="Calibri" w:eastAsia="Times New Roman" w:hAnsi="Calibri"/>
          <w:sz w:val="24"/>
          <w:szCs w:val="24"/>
        </w:rPr>
      </w:pPr>
      <w:r w:rsidRPr="00284D55">
        <w:rPr>
          <w:rFonts w:ascii="Calibri" w:eastAsia="Times New Roman" w:hAnsi="Calibri"/>
          <w:sz w:val="24"/>
          <w:szCs w:val="24"/>
        </w:rPr>
        <w:t>Die Mütter, die Töchter und die Schwestern, Repräsentantinnen der Nation, verlangen in die Nationalversammlung aufgenommen zu werden.</w:t>
      </w:r>
    </w:p>
    <w:p w:rsidR="00E66492" w:rsidRPr="00284D55" w:rsidRDefault="00E66492" w:rsidP="009D7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rFonts w:ascii="Calibri" w:eastAsia="Times New Roman" w:hAnsi="Calibri"/>
          <w:sz w:val="24"/>
          <w:szCs w:val="24"/>
        </w:rPr>
      </w:pPr>
      <w:r w:rsidRPr="00284D55">
        <w:rPr>
          <w:rFonts w:ascii="Calibri" w:eastAsia="Times New Roman" w:hAnsi="Calibri"/>
          <w:sz w:val="24"/>
          <w:szCs w:val="24"/>
        </w:rPr>
        <w:t xml:space="preserve">Die Frau wird frei geboren und bleibt dem Mann an Rechten gleich. Das Ziel jeder politischen Vereinigung ist die Bewahrung der natürlichen und unverjährbaren Rechte von Mann und Frau: diese Rechte sind Freiheit, Eigentum, Sicherheit und vor allem Widerstand gegen Unterdrückung. (…) </w:t>
      </w:r>
    </w:p>
    <w:p w:rsidR="00E66492" w:rsidRPr="00284D55" w:rsidRDefault="00E66492" w:rsidP="009D7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rFonts w:ascii="Calibri" w:eastAsia="Times New Roman" w:hAnsi="Calibri"/>
          <w:sz w:val="24"/>
          <w:szCs w:val="24"/>
        </w:rPr>
      </w:pPr>
      <w:r w:rsidRPr="00284D55">
        <w:rPr>
          <w:rFonts w:ascii="Calibri" w:eastAsia="Times New Roman" w:hAnsi="Calibri"/>
          <w:sz w:val="24"/>
          <w:szCs w:val="24"/>
        </w:rPr>
        <w:t xml:space="preserve">Das Gesetz muss der Ausdruck des Gesamtwillens sein; alle Bürgerinnen und Bürger müssen persönlich oder durch einen Stellvertreter zu seiner Entstehung beitragen. (…) </w:t>
      </w:r>
    </w:p>
    <w:p w:rsidR="00E66492" w:rsidRPr="00284D55" w:rsidRDefault="00E66492" w:rsidP="009D7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rFonts w:ascii="Calibri" w:eastAsia="Times New Roman" w:hAnsi="Calibri"/>
          <w:sz w:val="24"/>
          <w:szCs w:val="24"/>
        </w:rPr>
      </w:pPr>
    </w:p>
    <w:p w:rsidR="00E66492" w:rsidRPr="00284D55" w:rsidRDefault="00E66492" w:rsidP="009D7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rFonts w:ascii="Calibri" w:eastAsia="Times New Roman" w:hAnsi="Calibri"/>
          <w:sz w:val="24"/>
          <w:szCs w:val="24"/>
        </w:rPr>
      </w:pPr>
      <w:r w:rsidRPr="00284D55">
        <w:rPr>
          <w:rFonts w:ascii="Calibri" w:eastAsia="Times New Roman" w:hAnsi="Calibri"/>
          <w:sz w:val="24"/>
          <w:szCs w:val="24"/>
        </w:rPr>
        <w:t xml:space="preserve">Die freie Gedanken- und Meinungsäußerung ist eines der kostbarsten Rechte der Frau. </w:t>
      </w:r>
    </w:p>
    <w:p w:rsidR="00E66492" w:rsidRDefault="00E66492" w:rsidP="009D7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40" w:lineRule="auto"/>
        <w:rPr>
          <w:rFonts w:ascii="Calibri" w:eastAsia="Times New Roman" w:hAnsi="Calibri"/>
          <w:sz w:val="24"/>
          <w:szCs w:val="24"/>
        </w:rPr>
      </w:pPr>
      <w:r w:rsidRPr="00284D55">
        <w:rPr>
          <w:rFonts w:ascii="Calibri" w:eastAsia="Times New Roman" w:hAnsi="Calibri"/>
          <w:sz w:val="24"/>
          <w:szCs w:val="24"/>
        </w:rPr>
        <w:t xml:space="preserve">Frau erwache! Die Sturmglocke der Vernunft erschallt im ganzen Weltall; erkenne deine Rechte! </w:t>
      </w:r>
    </w:p>
    <w:p w:rsidR="00E66492" w:rsidRPr="00284D55" w:rsidRDefault="00E66492" w:rsidP="009D7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40" w:lineRule="auto"/>
        <w:jc w:val="right"/>
        <w:rPr>
          <w:rFonts w:ascii="Calibri" w:eastAsia="Times New Roman" w:hAnsi="Calibri"/>
          <w:i/>
          <w:sz w:val="20"/>
          <w:szCs w:val="20"/>
        </w:rPr>
      </w:pPr>
      <w:r w:rsidRPr="00284D55">
        <w:rPr>
          <w:rFonts w:ascii="Calibri" w:eastAsia="Times New Roman" w:hAnsi="Calibri"/>
          <w:i/>
          <w:sz w:val="20"/>
          <w:szCs w:val="20"/>
        </w:rPr>
        <w:t>aus: Karl Heinz Burme</w:t>
      </w:r>
      <w:r w:rsidR="00E907D9">
        <w:rPr>
          <w:rFonts w:ascii="Calibri" w:eastAsia="Times New Roman" w:hAnsi="Calibri"/>
          <w:i/>
          <w:sz w:val="20"/>
          <w:szCs w:val="20"/>
        </w:rPr>
        <w:t>i</w:t>
      </w:r>
      <w:r w:rsidRPr="00284D55">
        <w:rPr>
          <w:rFonts w:ascii="Calibri" w:eastAsia="Times New Roman" w:hAnsi="Calibri"/>
          <w:i/>
          <w:sz w:val="20"/>
          <w:szCs w:val="20"/>
        </w:rPr>
        <w:t xml:space="preserve">ster: Olympe de </w:t>
      </w:r>
      <w:proofErr w:type="spellStart"/>
      <w:r w:rsidRPr="00284D55">
        <w:rPr>
          <w:rFonts w:ascii="Calibri" w:eastAsia="Times New Roman" w:hAnsi="Calibri"/>
          <w:i/>
          <w:sz w:val="20"/>
          <w:szCs w:val="20"/>
        </w:rPr>
        <w:t>Gouges</w:t>
      </w:r>
      <w:proofErr w:type="spellEnd"/>
      <w:r w:rsidRPr="00284D55">
        <w:rPr>
          <w:rFonts w:ascii="Calibri" w:eastAsia="Times New Roman" w:hAnsi="Calibri"/>
          <w:i/>
          <w:sz w:val="20"/>
          <w:szCs w:val="20"/>
        </w:rPr>
        <w:t>: Die Rechte der Frau 1791, Wien 1999, S. 159</w:t>
      </w:r>
      <w:r w:rsidR="00103A77">
        <w:rPr>
          <w:rFonts w:ascii="Calibri" w:eastAsia="Times New Roman" w:hAnsi="Calibri"/>
          <w:i/>
          <w:sz w:val="20"/>
          <w:szCs w:val="20"/>
        </w:rPr>
        <w:t>–</w:t>
      </w:r>
      <w:r w:rsidRPr="00284D55">
        <w:rPr>
          <w:rFonts w:ascii="Calibri" w:eastAsia="Times New Roman" w:hAnsi="Calibri"/>
          <w:i/>
          <w:sz w:val="20"/>
          <w:szCs w:val="20"/>
        </w:rPr>
        <w:t>175</w:t>
      </w:r>
    </w:p>
    <w:p w:rsidR="00E66492" w:rsidRDefault="00E66492" w:rsidP="009D7B23">
      <w:pPr>
        <w:suppressAutoHyphens/>
        <w:spacing w:line="240" w:lineRule="auto"/>
        <w:contextualSpacing/>
      </w:pPr>
    </w:p>
    <w:p w:rsidR="00BA5518" w:rsidRDefault="00BA5518" w:rsidP="009D7B23">
      <w:pPr>
        <w:suppressAutoHyphens/>
        <w:spacing w:line="240" w:lineRule="auto"/>
        <w:rPr>
          <w:rFonts w:eastAsiaTheme="minorHAnsi" w:cs="Arial"/>
          <w:i/>
          <w:sz w:val="20"/>
          <w:szCs w:val="20"/>
        </w:rPr>
      </w:pPr>
    </w:p>
    <w:p w:rsidR="009D7B23" w:rsidRPr="0090718E" w:rsidRDefault="009D7B23" w:rsidP="009D7B23">
      <w:pPr>
        <w:suppressAutoHyphens/>
        <w:spacing w:line="240" w:lineRule="auto"/>
        <w:rPr>
          <w:rFonts w:eastAsiaTheme="minorHAnsi" w:cs="Arial"/>
          <w:i/>
          <w:color w:val="000000" w:themeColor="text1"/>
          <w:sz w:val="20"/>
          <w:szCs w:val="20"/>
        </w:rPr>
      </w:pPr>
    </w:p>
    <w:p w:rsidR="009D7B23" w:rsidRDefault="009D7B23" w:rsidP="009D7B23">
      <w:pPr>
        <w:suppressAutoHyphens/>
        <w:spacing w:line="240" w:lineRule="auto"/>
        <w:rPr>
          <w:rFonts w:eastAsiaTheme="minorHAnsi" w:cs="Arial"/>
          <w:i/>
          <w:sz w:val="20"/>
          <w:szCs w:val="20"/>
        </w:rPr>
      </w:pPr>
    </w:p>
    <w:p w:rsidR="009D7B23" w:rsidRDefault="009D7B23" w:rsidP="009D7B23">
      <w:pPr>
        <w:suppressAutoHyphens/>
        <w:spacing w:line="240" w:lineRule="auto"/>
        <w:rPr>
          <w:rFonts w:eastAsiaTheme="minorHAnsi" w:cs="Arial"/>
          <w:i/>
          <w:sz w:val="20"/>
          <w:szCs w:val="20"/>
        </w:rPr>
      </w:pPr>
    </w:p>
    <w:p w:rsidR="009D7B23" w:rsidRDefault="009D7B23" w:rsidP="009D7B23">
      <w:pPr>
        <w:suppressAutoHyphens/>
        <w:spacing w:line="240" w:lineRule="auto"/>
        <w:rPr>
          <w:rFonts w:eastAsiaTheme="minorHAnsi" w:cs="Arial"/>
          <w:i/>
          <w:sz w:val="20"/>
          <w:szCs w:val="20"/>
        </w:rPr>
      </w:pPr>
    </w:p>
    <w:p w:rsidR="009D7B23" w:rsidRDefault="009D7B23" w:rsidP="009D7B23">
      <w:pPr>
        <w:suppressAutoHyphens/>
        <w:spacing w:line="240" w:lineRule="auto"/>
        <w:rPr>
          <w:rFonts w:eastAsiaTheme="minorHAnsi" w:cs="Arial"/>
          <w:i/>
          <w:sz w:val="20"/>
          <w:szCs w:val="20"/>
        </w:rPr>
      </w:pPr>
    </w:p>
    <w:p w:rsidR="009D7B23" w:rsidRDefault="009D7B23" w:rsidP="009D7B23">
      <w:pPr>
        <w:suppressAutoHyphens/>
        <w:spacing w:line="240" w:lineRule="auto"/>
        <w:rPr>
          <w:rFonts w:eastAsiaTheme="minorHAnsi" w:cs="Arial"/>
          <w:i/>
          <w:sz w:val="20"/>
          <w:szCs w:val="20"/>
        </w:rPr>
      </w:pPr>
    </w:p>
    <w:p w:rsidR="009D7B23" w:rsidRDefault="009D7B23" w:rsidP="009D7B23">
      <w:pPr>
        <w:suppressAutoHyphens/>
        <w:spacing w:line="240" w:lineRule="auto"/>
        <w:rPr>
          <w:rFonts w:eastAsiaTheme="minorHAnsi" w:cs="Arial"/>
          <w:i/>
          <w:sz w:val="20"/>
          <w:szCs w:val="20"/>
        </w:rPr>
      </w:pPr>
    </w:p>
    <w:p w:rsidR="009D7B23" w:rsidRDefault="009D7B23" w:rsidP="009D7B23">
      <w:pPr>
        <w:suppressAutoHyphens/>
        <w:spacing w:line="240" w:lineRule="auto"/>
        <w:rPr>
          <w:rFonts w:eastAsiaTheme="minorHAnsi" w:cs="Arial"/>
          <w:i/>
          <w:sz w:val="20"/>
          <w:szCs w:val="20"/>
        </w:rPr>
      </w:pPr>
    </w:p>
    <w:p w:rsidR="009D7B23" w:rsidRDefault="009D7B23" w:rsidP="009D7B23">
      <w:pPr>
        <w:suppressAutoHyphens/>
        <w:spacing w:line="240" w:lineRule="auto"/>
        <w:rPr>
          <w:rFonts w:eastAsiaTheme="minorHAnsi" w:cs="Arial"/>
          <w:i/>
          <w:sz w:val="20"/>
          <w:szCs w:val="20"/>
        </w:rPr>
      </w:pPr>
    </w:p>
    <w:p w:rsidR="009D7B23" w:rsidRDefault="009D7B23" w:rsidP="009D7B23">
      <w:pPr>
        <w:suppressAutoHyphens/>
        <w:spacing w:line="240" w:lineRule="auto"/>
        <w:rPr>
          <w:rFonts w:eastAsiaTheme="minorHAnsi" w:cs="Arial"/>
          <w:i/>
          <w:sz w:val="20"/>
          <w:szCs w:val="20"/>
        </w:rPr>
      </w:pPr>
    </w:p>
    <w:p w:rsidR="009D7B23" w:rsidRDefault="009D7B23" w:rsidP="009D7B23">
      <w:pPr>
        <w:suppressAutoHyphens/>
        <w:spacing w:line="240" w:lineRule="auto"/>
        <w:rPr>
          <w:rFonts w:eastAsiaTheme="minorHAnsi" w:cs="Arial"/>
          <w:i/>
          <w:sz w:val="20"/>
          <w:szCs w:val="20"/>
        </w:rPr>
      </w:pPr>
    </w:p>
    <w:p w:rsidR="009D7B23" w:rsidRDefault="009D7B23" w:rsidP="009D7B23">
      <w:pPr>
        <w:suppressAutoHyphens/>
        <w:spacing w:line="240" w:lineRule="auto"/>
        <w:rPr>
          <w:rFonts w:eastAsiaTheme="minorHAnsi" w:cs="Arial"/>
          <w:i/>
          <w:sz w:val="20"/>
          <w:szCs w:val="20"/>
        </w:rPr>
      </w:pPr>
    </w:p>
    <w:p w:rsidR="009D7B23" w:rsidRDefault="009D7B23" w:rsidP="009D7B23">
      <w:pPr>
        <w:suppressAutoHyphens/>
        <w:spacing w:line="240" w:lineRule="auto"/>
        <w:rPr>
          <w:rFonts w:eastAsiaTheme="minorHAnsi" w:cs="Arial"/>
          <w:i/>
          <w:sz w:val="20"/>
          <w:szCs w:val="20"/>
        </w:rPr>
      </w:pPr>
    </w:p>
    <w:p w:rsidR="009D7B23" w:rsidRDefault="009D7B23" w:rsidP="009D7B23">
      <w:pPr>
        <w:suppressAutoHyphens/>
        <w:spacing w:line="240" w:lineRule="auto"/>
        <w:rPr>
          <w:rFonts w:eastAsiaTheme="minorHAnsi" w:cs="Arial"/>
          <w:i/>
          <w:sz w:val="20"/>
          <w:szCs w:val="20"/>
        </w:rPr>
      </w:pPr>
    </w:p>
    <w:p w:rsidR="009D7B23" w:rsidRDefault="009D7B23" w:rsidP="009D7B23">
      <w:pPr>
        <w:suppressAutoHyphens/>
        <w:spacing w:line="240" w:lineRule="auto"/>
        <w:rPr>
          <w:rFonts w:eastAsiaTheme="minorHAnsi" w:cs="Arial"/>
          <w:i/>
          <w:sz w:val="20"/>
          <w:szCs w:val="20"/>
        </w:rPr>
      </w:pPr>
    </w:p>
    <w:p w:rsidR="009D7B23" w:rsidRDefault="009D7B23" w:rsidP="009D7B23">
      <w:pPr>
        <w:suppressAutoHyphens/>
        <w:spacing w:line="240" w:lineRule="auto"/>
        <w:rPr>
          <w:rFonts w:eastAsiaTheme="minorHAnsi" w:cs="Arial"/>
          <w:i/>
          <w:sz w:val="20"/>
          <w:szCs w:val="20"/>
        </w:rPr>
      </w:pPr>
    </w:p>
    <w:p w:rsidR="009D7B23" w:rsidRDefault="009D7B23" w:rsidP="009D7B23">
      <w:pPr>
        <w:suppressAutoHyphens/>
        <w:spacing w:line="240" w:lineRule="auto"/>
        <w:rPr>
          <w:rFonts w:eastAsiaTheme="minorHAnsi" w:cs="Arial"/>
          <w:i/>
          <w:sz w:val="20"/>
          <w:szCs w:val="20"/>
        </w:rPr>
      </w:pPr>
    </w:p>
    <w:p w:rsidR="009D7B23" w:rsidRPr="009C6133" w:rsidRDefault="009D7B23" w:rsidP="009D7B23">
      <w:pPr>
        <w:suppressAutoHyphens/>
        <w:spacing w:line="240" w:lineRule="auto"/>
        <w:rPr>
          <w:rFonts w:eastAsiaTheme="minorHAnsi" w:cs="Arial"/>
          <w:i/>
          <w:sz w:val="20"/>
          <w:szCs w:val="20"/>
        </w:rPr>
      </w:pPr>
    </w:p>
    <w:p w:rsidR="00BA5518" w:rsidRDefault="00BA5518" w:rsidP="009D7B23">
      <w:pPr>
        <w:pStyle w:val="Listenabsatz"/>
        <w:suppressAutoHyphens/>
        <w:spacing w:before="60" w:after="60"/>
        <w:ind w:left="0"/>
        <w:rPr>
          <w:rFonts w:eastAsiaTheme="minorHAnsi" w:cs="Arial"/>
        </w:rPr>
      </w:pPr>
      <w:r w:rsidRPr="00E665BD">
        <w:rPr>
          <w:rFonts w:cs="Arial"/>
          <w:i/>
          <w:noProof/>
          <w:sz w:val="20"/>
          <w:szCs w:val="20"/>
          <w:lang w:eastAsia="de-DE"/>
        </w:rPr>
        <w:drawing>
          <wp:inline distT="0" distB="0" distL="0" distR="0">
            <wp:extent cx="1227411" cy="429442"/>
            <wp:effectExtent l="19050" t="0" r="0" b="0"/>
            <wp:docPr id="5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65BD">
        <w:rPr>
          <w:rFonts w:eastAsiaTheme="minorHAnsi" w:cs="Arial"/>
        </w:rPr>
        <w:t>LISUM</w:t>
      </w:r>
    </w:p>
    <w:p w:rsidR="00F5187C" w:rsidRPr="0090718E" w:rsidRDefault="00F5187C" w:rsidP="009D7B23">
      <w:pPr>
        <w:tabs>
          <w:tab w:val="left" w:pos="2930"/>
        </w:tabs>
        <w:suppressAutoHyphens/>
        <w:spacing w:before="60" w:after="60"/>
        <w:rPr>
          <w:b/>
          <w:sz w:val="24"/>
          <w:szCs w:val="24"/>
        </w:rPr>
      </w:pPr>
      <w:r w:rsidRPr="0090718E">
        <w:rPr>
          <w:b/>
          <w:sz w:val="24"/>
          <w:szCs w:val="24"/>
        </w:rPr>
        <w:lastRenderedPageBreak/>
        <w:t>Erwartungshorizont:</w:t>
      </w:r>
      <w:r w:rsidR="00E66492" w:rsidRPr="0090718E">
        <w:rPr>
          <w:b/>
          <w:sz w:val="24"/>
          <w:szCs w:val="24"/>
        </w:rPr>
        <w:tab/>
      </w:r>
    </w:p>
    <w:p w:rsidR="009D7B23" w:rsidRDefault="009D7B23" w:rsidP="009D7B23">
      <w:pPr>
        <w:tabs>
          <w:tab w:val="left" w:pos="2930"/>
        </w:tabs>
        <w:suppressAutoHyphens/>
        <w:spacing w:before="60" w:after="60"/>
        <w:rPr>
          <w:b/>
        </w:rPr>
      </w:pPr>
    </w:p>
    <w:p w:rsidR="00E66492" w:rsidRDefault="00E66492" w:rsidP="009D7B23">
      <w:pPr>
        <w:pStyle w:val="Listenabsatz"/>
        <w:numPr>
          <w:ilvl w:val="0"/>
          <w:numId w:val="17"/>
        </w:numPr>
        <w:suppressAutoHyphens/>
        <w:spacing w:after="200"/>
        <w:contextualSpacing/>
      </w:pPr>
      <w:r>
        <w:t>Die drei Forderungen sind:</w:t>
      </w:r>
    </w:p>
    <w:p w:rsidR="00E66492" w:rsidRDefault="00E66492" w:rsidP="009D7B23">
      <w:pPr>
        <w:pStyle w:val="Listenabsatz"/>
        <w:numPr>
          <w:ilvl w:val="0"/>
          <w:numId w:val="18"/>
        </w:numPr>
        <w:suppressAutoHyphens/>
        <w:spacing w:after="200"/>
        <w:contextualSpacing/>
      </w:pPr>
      <w:r>
        <w:t>Frauen sollen als Mitglieder der Nationalversammlung aufgenommen werden.</w:t>
      </w:r>
    </w:p>
    <w:p w:rsidR="00E66492" w:rsidRDefault="00E66492" w:rsidP="009D7B23">
      <w:pPr>
        <w:pStyle w:val="Listenabsatz"/>
        <w:numPr>
          <w:ilvl w:val="0"/>
          <w:numId w:val="18"/>
        </w:numPr>
        <w:suppressAutoHyphens/>
        <w:spacing w:after="200"/>
        <w:contextualSpacing/>
      </w:pPr>
      <w:r>
        <w:t>Das Gesetz muss auch den Willen der Frauen zum Ausdruck bringen.</w:t>
      </w:r>
    </w:p>
    <w:p w:rsidR="00E66492" w:rsidRDefault="00E66492" w:rsidP="009D7B23">
      <w:pPr>
        <w:pStyle w:val="Listenabsatz"/>
        <w:numPr>
          <w:ilvl w:val="0"/>
          <w:numId w:val="18"/>
        </w:numPr>
        <w:suppressAutoHyphens/>
        <w:spacing w:after="200"/>
        <w:contextualSpacing/>
      </w:pPr>
      <w:r>
        <w:t xml:space="preserve">Frauen müssen an der Entstehung/Entwicklung des Gesetzes gleichberechtigt teilhaben können. </w:t>
      </w:r>
    </w:p>
    <w:p w:rsidR="00E66492" w:rsidRDefault="00E66492" w:rsidP="009D7B23">
      <w:pPr>
        <w:pStyle w:val="Listenabsatz"/>
        <w:suppressAutoHyphens/>
        <w:spacing w:after="200"/>
        <w:ind w:left="1080"/>
        <w:contextualSpacing/>
      </w:pPr>
    </w:p>
    <w:p w:rsidR="00E66492" w:rsidRDefault="00E66492" w:rsidP="009D7B23">
      <w:pPr>
        <w:pStyle w:val="Listenabsatz"/>
        <w:numPr>
          <w:ilvl w:val="0"/>
          <w:numId w:val="17"/>
        </w:numPr>
        <w:suppressAutoHyphens/>
        <w:spacing w:after="200"/>
        <w:contextualSpacing/>
      </w:pPr>
      <w:r>
        <w:t xml:space="preserve">Die Begründungen sind: </w:t>
      </w:r>
    </w:p>
    <w:p w:rsidR="00E66492" w:rsidRDefault="00E66492" w:rsidP="009D7B23">
      <w:pPr>
        <w:pStyle w:val="Listenabsatz"/>
        <w:numPr>
          <w:ilvl w:val="0"/>
          <w:numId w:val="19"/>
        </w:numPr>
        <w:suppressAutoHyphens/>
        <w:spacing w:after="200"/>
        <w:contextualSpacing/>
      </w:pPr>
      <w:r>
        <w:t>Frauen sind von Geburt an frei.</w:t>
      </w:r>
    </w:p>
    <w:p w:rsidR="00E66492" w:rsidRDefault="00E66492" w:rsidP="009D7B23">
      <w:pPr>
        <w:pStyle w:val="Listenabsatz"/>
        <w:numPr>
          <w:ilvl w:val="0"/>
          <w:numId w:val="19"/>
        </w:numPr>
        <w:suppressAutoHyphens/>
        <w:spacing w:after="200"/>
        <w:contextualSpacing/>
      </w:pPr>
      <w:r>
        <w:t xml:space="preserve">Frauen haben die gleichen Rechte wie Männer. </w:t>
      </w:r>
    </w:p>
    <w:p w:rsidR="00E66492" w:rsidRDefault="00E66492" w:rsidP="009D7B23">
      <w:pPr>
        <w:pStyle w:val="Listenabsatz"/>
        <w:numPr>
          <w:ilvl w:val="0"/>
          <w:numId w:val="19"/>
        </w:numPr>
        <w:suppressAutoHyphens/>
        <w:spacing w:after="200"/>
        <w:contextualSpacing/>
      </w:pPr>
      <w:r>
        <w:t>Politische Herrschaft hat den Zweck, die Rechte der Frauen und Männer gleichermaßen zu wahren.</w:t>
      </w:r>
    </w:p>
    <w:p w:rsidR="00E66492" w:rsidRDefault="00E66492" w:rsidP="009D7B23">
      <w:pPr>
        <w:pStyle w:val="Listenabsatz"/>
        <w:numPr>
          <w:ilvl w:val="0"/>
          <w:numId w:val="19"/>
        </w:numPr>
        <w:suppressAutoHyphens/>
        <w:spacing w:after="200"/>
        <w:contextualSpacing/>
      </w:pPr>
      <w:r>
        <w:t>Frauen haben ein Recht auf Freiheit.</w:t>
      </w:r>
    </w:p>
    <w:p w:rsidR="00E66492" w:rsidRDefault="00E66492" w:rsidP="009D7B23">
      <w:pPr>
        <w:pStyle w:val="Listenabsatz"/>
        <w:numPr>
          <w:ilvl w:val="0"/>
          <w:numId w:val="19"/>
        </w:numPr>
        <w:suppressAutoHyphens/>
        <w:spacing w:after="200"/>
        <w:contextualSpacing/>
      </w:pPr>
      <w:r>
        <w:t>Frauen haben ein Recht auf Eigentum.</w:t>
      </w:r>
    </w:p>
    <w:p w:rsidR="00E66492" w:rsidRDefault="00E66492" w:rsidP="009D7B23">
      <w:pPr>
        <w:pStyle w:val="Listenabsatz"/>
        <w:numPr>
          <w:ilvl w:val="0"/>
          <w:numId w:val="19"/>
        </w:numPr>
        <w:suppressAutoHyphens/>
        <w:spacing w:after="200"/>
        <w:contextualSpacing/>
      </w:pPr>
      <w:r>
        <w:t>Frauen haben ein Widerstandsrecht.</w:t>
      </w:r>
    </w:p>
    <w:p w:rsidR="00E66492" w:rsidRDefault="00E66492" w:rsidP="009D7B23">
      <w:pPr>
        <w:pStyle w:val="Listenabsatz"/>
        <w:numPr>
          <w:ilvl w:val="0"/>
          <w:numId w:val="19"/>
        </w:numPr>
        <w:suppressAutoHyphens/>
        <w:spacing w:after="200"/>
        <w:contextualSpacing/>
      </w:pPr>
      <w:r>
        <w:t>Frauen haben ein Recht auf Gedanken- und Meinungsfreiheit.</w:t>
      </w:r>
    </w:p>
    <w:p w:rsidR="00E66492" w:rsidRDefault="00E66492" w:rsidP="009D7B23">
      <w:pPr>
        <w:pStyle w:val="Listenabsatz"/>
        <w:suppressAutoHyphens/>
        <w:spacing w:after="200"/>
        <w:ind w:left="1068"/>
        <w:contextualSpacing/>
      </w:pPr>
    </w:p>
    <w:p w:rsidR="00E66492" w:rsidRDefault="00E66492" w:rsidP="009D7B23">
      <w:pPr>
        <w:pStyle w:val="Listenabsatz"/>
        <w:numPr>
          <w:ilvl w:val="0"/>
          <w:numId w:val="17"/>
        </w:numPr>
        <w:suppressAutoHyphens/>
        <w:spacing w:after="200"/>
        <w:contextualSpacing/>
      </w:pPr>
      <w:r>
        <w:t xml:space="preserve">Olympe de </w:t>
      </w:r>
      <w:proofErr w:type="spellStart"/>
      <w:r>
        <w:t>Gouges</w:t>
      </w:r>
      <w:proofErr w:type="spellEnd"/>
      <w:r>
        <w:t xml:space="preserve"> argumentiert mit den Rechten der Menschen, die diese von Natur aus haben (Naturrecht) und mit der Vernunft.</w:t>
      </w:r>
    </w:p>
    <w:p w:rsidR="00E66492" w:rsidRDefault="00E66492" w:rsidP="009D7B23">
      <w:pPr>
        <w:suppressAutoHyphens/>
        <w:spacing w:after="200"/>
        <w:ind w:left="360"/>
        <w:contextualSpacing/>
      </w:pPr>
      <w:r>
        <w:t>Bei der Bewertung dieser Aufgabe sollte im Sinne des Standards die zutreffende inhaltliche Auswertung und die Wiedergabe in eigenen Worten bewertet werden, nicht die Qualität eines möglichen Vortrags.</w:t>
      </w:r>
    </w:p>
    <w:p w:rsidR="00E66492" w:rsidRDefault="00E66492" w:rsidP="009D7B23">
      <w:pPr>
        <w:tabs>
          <w:tab w:val="left" w:pos="2930"/>
        </w:tabs>
        <w:suppressAutoHyphens/>
        <w:spacing w:before="60" w:after="60"/>
        <w:rPr>
          <w:b/>
        </w:rPr>
      </w:pPr>
    </w:p>
    <w:p w:rsidR="00420481" w:rsidRDefault="00420481" w:rsidP="00BA5518">
      <w:pPr>
        <w:tabs>
          <w:tab w:val="left" w:pos="1892"/>
        </w:tabs>
        <w:suppressAutoHyphens/>
        <w:spacing w:before="60" w:after="60"/>
        <w:rPr>
          <w:b/>
        </w:rPr>
      </w:pPr>
    </w:p>
    <w:p w:rsidR="009D7B23" w:rsidRDefault="009D7B23" w:rsidP="00BA5518">
      <w:pPr>
        <w:tabs>
          <w:tab w:val="left" w:pos="1892"/>
        </w:tabs>
        <w:suppressAutoHyphens/>
        <w:spacing w:before="60" w:after="60"/>
        <w:rPr>
          <w:b/>
        </w:rPr>
      </w:pPr>
    </w:p>
    <w:p w:rsidR="009D7B23" w:rsidRDefault="009D7B23" w:rsidP="00BA5518">
      <w:pPr>
        <w:tabs>
          <w:tab w:val="left" w:pos="1892"/>
        </w:tabs>
        <w:suppressAutoHyphens/>
        <w:spacing w:before="60" w:after="60"/>
        <w:rPr>
          <w:b/>
        </w:rPr>
      </w:pPr>
    </w:p>
    <w:p w:rsidR="009D7B23" w:rsidRDefault="009D7B23" w:rsidP="00BA5518">
      <w:pPr>
        <w:tabs>
          <w:tab w:val="left" w:pos="1892"/>
        </w:tabs>
        <w:suppressAutoHyphens/>
        <w:spacing w:before="60" w:after="60"/>
        <w:rPr>
          <w:b/>
        </w:rPr>
      </w:pPr>
    </w:p>
    <w:p w:rsidR="009D7B23" w:rsidRDefault="009D7B23" w:rsidP="00BA5518">
      <w:pPr>
        <w:tabs>
          <w:tab w:val="left" w:pos="1892"/>
        </w:tabs>
        <w:suppressAutoHyphens/>
        <w:spacing w:before="60" w:after="60"/>
        <w:rPr>
          <w:b/>
        </w:rPr>
      </w:pPr>
    </w:p>
    <w:p w:rsidR="009D7B23" w:rsidRDefault="009D7B23" w:rsidP="00BA5518">
      <w:pPr>
        <w:tabs>
          <w:tab w:val="left" w:pos="1892"/>
        </w:tabs>
        <w:suppressAutoHyphens/>
        <w:spacing w:before="60" w:after="60"/>
        <w:rPr>
          <w:b/>
        </w:rPr>
      </w:pPr>
    </w:p>
    <w:p w:rsidR="009D7B23" w:rsidRDefault="009D7B23" w:rsidP="00BA5518">
      <w:pPr>
        <w:tabs>
          <w:tab w:val="left" w:pos="1892"/>
        </w:tabs>
        <w:suppressAutoHyphens/>
        <w:spacing w:before="60" w:after="60"/>
        <w:rPr>
          <w:b/>
        </w:rPr>
      </w:pPr>
    </w:p>
    <w:p w:rsidR="009D7B23" w:rsidRDefault="009D7B23" w:rsidP="00BA5518">
      <w:pPr>
        <w:tabs>
          <w:tab w:val="left" w:pos="1892"/>
        </w:tabs>
        <w:suppressAutoHyphens/>
        <w:spacing w:before="60" w:after="60"/>
        <w:rPr>
          <w:b/>
        </w:rPr>
      </w:pPr>
    </w:p>
    <w:p w:rsidR="009D7B23" w:rsidRDefault="009D7B23" w:rsidP="00BA5518">
      <w:pPr>
        <w:tabs>
          <w:tab w:val="left" w:pos="1892"/>
        </w:tabs>
        <w:suppressAutoHyphens/>
        <w:spacing w:before="60" w:after="60"/>
        <w:rPr>
          <w:b/>
        </w:rPr>
      </w:pPr>
    </w:p>
    <w:p w:rsidR="009D7B23" w:rsidRDefault="009D7B23" w:rsidP="00BA5518">
      <w:pPr>
        <w:tabs>
          <w:tab w:val="left" w:pos="1892"/>
        </w:tabs>
        <w:suppressAutoHyphens/>
        <w:spacing w:before="60" w:after="60"/>
        <w:rPr>
          <w:b/>
        </w:rPr>
      </w:pPr>
    </w:p>
    <w:p w:rsidR="009D7B23" w:rsidRDefault="009D7B23" w:rsidP="00BA5518">
      <w:pPr>
        <w:tabs>
          <w:tab w:val="left" w:pos="1892"/>
        </w:tabs>
        <w:suppressAutoHyphens/>
        <w:spacing w:before="60" w:after="60"/>
        <w:rPr>
          <w:b/>
        </w:rPr>
      </w:pPr>
    </w:p>
    <w:p w:rsidR="009D7B23" w:rsidRDefault="009D7B23" w:rsidP="00BA5518">
      <w:pPr>
        <w:tabs>
          <w:tab w:val="left" w:pos="1892"/>
        </w:tabs>
        <w:suppressAutoHyphens/>
        <w:spacing w:before="60" w:after="60"/>
        <w:rPr>
          <w:b/>
        </w:rPr>
      </w:pPr>
    </w:p>
    <w:p w:rsidR="009D7B23" w:rsidRDefault="009D7B23" w:rsidP="00BA5518">
      <w:pPr>
        <w:tabs>
          <w:tab w:val="left" w:pos="1892"/>
        </w:tabs>
        <w:suppressAutoHyphens/>
        <w:spacing w:before="60" w:after="60"/>
        <w:rPr>
          <w:b/>
        </w:rPr>
      </w:pPr>
    </w:p>
    <w:p w:rsidR="009D7B23" w:rsidRDefault="009D7B23" w:rsidP="00BA5518">
      <w:pPr>
        <w:tabs>
          <w:tab w:val="left" w:pos="1892"/>
        </w:tabs>
        <w:suppressAutoHyphens/>
        <w:spacing w:before="60" w:after="60"/>
        <w:rPr>
          <w:b/>
        </w:rPr>
      </w:pPr>
    </w:p>
    <w:p w:rsidR="009D7B23" w:rsidRDefault="009D7B23" w:rsidP="00BA5518">
      <w:pPr>
        <w:tabs>
          <w:tab w:val="left" w:pos="1892"/>
        </w:tabs>
        <w:suppressAutoHyphens/>
        <w:spacing w:before="60" w:after="60"/>
        <w:rPr>
          <w:b/>
        </w:rPr>
      </w:pPr>
    </w:p>
    <w:p w:rsidR="009D7B23" w:rsidRDefault="009D7B23" w:rsidP="00BA5518">
      <w:pPr>
        <w:tabs>
          <w:tab w:val="left" w:pos="1892"/>
        </w:tabs>
        <w:suppressAutoHyphens/>
        <w:spacing w:before="60" w:after="60"/>
        <w:rPr>
          <w:b/>
        </w:rPr>
      </w:pPr>
    </w:p>
    <w:p w:rsidR="009D7B23" w:rsidRDefault="009D7B23" w:rsidP="00BA5518">
      <w:pPr>
        <w:tabs>
          <w:tab w:val="left" w:pos="1892"/>
        </w:tabs>
        <w:suppressAutoHyphens/>
        <w:spacing w:before="60" w:after="60"/>
        <w:rPr>
          <w:b/>
        </w:rPr>
      </w:pPr>
    </w:p>
    <w:p w:rsidR="008119C5" w:rsidRPr="00C2144F" w:rsidRDefault="00420481" w:rsidP="0090718E">
      <w:pPr>
        <w:spacing w:before="60" w:after="60"/>
        <w:rPr>
          <w:sz w:val="2"/>
          <w:szCs w:val="2"/>
        </w:rPr>
      </w:pPr>
      <w:r w:rsidRPr="00420481">
        <w:rPr>
          <w:b/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0481">
        <w:t xml:space="preserve"> LISUM</w:t>
      </w:r>
    </w:p>
    <w:sectPr w:rsidR="008119C5" w:rsidRPr="00C2144F" w:rsidSect="004851B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87E" w:rsidRDefault="0062387E" w:rsidP="00837EC7">
      <w:pPr>
        <w:spacing w:line="240" w:lineRule="auto"/>
      </w:pPr>
      <w:r>
        <w:separator/>
      </w:r>
    </w:p>
  </w:endnote>
  <w:endnote w:type="continuationSeparator" w:id="0">
    <w:p w:rsidR="0062387E" w:rsidRDefault="0062387E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0D3107" w:rsidRDefault="000D3107" w:rsidP="00937B60">
        <w:pPr>
          <w:pStyle w:val="Fuzeile"/>
          <w:tabs>
            <w:tab w:val="clear" w:pos="4536"/>
          </w:tabs>
          <w:jc w:val="center"/>
        </w:pPr>
        <w:r>
          <w:tab/>
        </w:r>
        <w:fldSimple w:instr=" PAGE   \* MERGEFORMAT ">
          <w:r w:rsidR="006D0826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87E" w:rsidRDefault="0062387E" w:rsidP="00837EC7">
      <w:pPr>
        <w:spacing w:line="240" w:lineRule="auto"/>
      </w:pPr>
      <w:r>
        <w:separator/>
      </w:r>
    </w:p>
  </w:footnote>
  <w:footnote w:type="continuationSeparator" w:id="0">
    <w:p w:rsidR="0062387E" w:rsidRDefault="0062387E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107" w:rsidRPr="00142DFA" w:rsidRDefault="000D3107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BA9"/>
    <w:multiLevelType w:val="hybridMultilevel"/>
    <w:tmpl w:val="D2ACC14E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F36D7"/>
    <w:multiLevelType w:val="hybridMultilevel"/>
    <w:tmpl w:val="0C4411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04080"/>
    <w:multiLevelType w:val="hybridMultilevel"/>
    <w:tmpl w:val="B95C92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B21122"/>
    <w:multiLevelType w:val="hybridMultilevel"/>
    <w:tmpl w:val="DDD248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A4433A"/>
    <w:multiLevelType w:val="hybridMultilevel"/>
    <w:tmpl w:val="40681F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592DB2"/>
    <w:multiLevelType w:val="hybridMultilevel"/>
    <w:tmpl w:val="A132641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2CF6526"/>
    <w:multiLevelType w:val="hybridMultilevel"/>
    <w:tmpl w:val="7D0CBDC2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7E444A8"/>
    <w:multiLevelType w:val="hybridMultilevel"/>
    <w:tmpl w:val="4E709B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7"/>
  </w:num>
  <w:num w:numId="5">
    <w:abstractNumId w:val="15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1"/>
  </w:num>
  <w:num w:numId="11">
    <w:abstractNumId w:val="13"/>
  </w:num>
  <w:num w:numId="12">
    <w:abstractNumId w:val="10"/>
  </w:num>
  <w:num w:numId="13">
    <w:abstractNumId w:val="16"/>
  </w:num>
  <w:num w:numId="14">
    <w:abstractNumId w:val="1"/>
  </w:num>
  <w:num w:numId="15">
    <w:abstractNumId w:val="5"/>
  </w:num>
  <w:num w:numId="16">
    <w:abstractNumId w:val="8"/>
  </w:num>
  <w:num w:numId="17">
    <w:abstractNumId w:val="6"/>
  </w:num>
  <w:num w:numId="18">
    <w:abstractNumId w:val="14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4165F"/>
    <w:rsid w:val="00051309"/>
    <w:rsid w:val="000636E4"/>
    <w:rsid w:val="000A2A61"/>
    <w:rsid w:val="000A4B8B"/>
    <w:rsid w:val="000D3107"/>
    <w:rsid w:val="00103A77"/>
    <w:rsid w:val="001321B6"/>
    <w:rsid w:val="00133562"/>
    <w:rsid w:val="00136172"/>
    <w:rsid w:val="00142DFA"/>
    <w:rsid w:val="00155F4E"/>
    <w:rsid w:val="001634E6"/>
    <w:rsid w:val="00163D87"/>
    <w:rsid w:val="001821B5"/>
    <w:rsid w:val="00185133"/>
    <w:rsid w:val="001A71B9"/>
    <w:rsid w:val="001B043E"/>
    <w:rsid w:val="001C3197"/>
    <w:rsid w:val="001F319E"/>
    <w:rsid w:val="00202F49"/>
    <w:rsid w:val="00206E1F"/>
    <w:rsid w:val="002348B8"/>
    <w:rsid w:val="00270DFC"/>
    <w:rsid w:val="002755E7"/>
    <w:rsid w:val="002A04B8"/>
    <w:rsid w:val="002A0D8C"/>
    <w:rsid w:val="002A2294"/>
    <w:rsid w:val="002A78D0"/>
    <w:rsid w:val="002B14FC"/>
    <w:rsid w:val="002B7078"/>
    <w:rsid w:val="002D3F70"/>
    <w:rsid w:val="002D55C9"/>
    <w:rsid w:val="002E1682"/>
    <w:rsid w:val="002F3C8C"/>
    <w:rsid w:val="00300E1A"/>
    <w:rsid w:val="00321743"/>
    <w:rsid w:val="00334567"/>
    <w:rsid w:val="00363539"/>
    <w:rsid w:val="003674BC"/>
    <w:rsid w:val="00381AB2"/>
    <w:rsid w:val="003F4234"/>
    <w:rsid w:val="0040115E"/>
    <w:rsid w:val="004072A0"/>
    <w:rsid w:val="00411347"/>
    <w:rsid w:val="00420481"/>
    <w:rsid w:val="00432230"/>
    <w:rsid w:val="00435C67"/>
    <w:rsid w:val="00445672"/>
    <w:rsid w:val="0044705F"/>
    <w:rsid w:val="0045370E"/>
    <w:rsid w:val="00467ABE"/>
    <w:rsid w:val="004819F4"/>
    <w:rsid w:val="004851BE"/>
    <w:rsid w:val="0049671A"/>
    <w:rsid w:val="00496D76"/>
    <w:rsid w:val="004C485B"/>
    <w:rsid w:val="004C5D31"/>
    <w:rsid w:val="004D7E9C"/>
    <w:rsid w:val="004F3656"/>
    <w:rsid w:val="005024D3"/>
    <w:rsid w:val="005052CB"/>
    <w:rsid w:val="00506A56"/>
    <w:rsid w:val="00511575"/>
    <w:rsid w:val="00536E45"/>
    <w:rsid w:val="00537A2A"/>
    <w:rsid w:val="005960DF"/>
    <w:rsid w:val="005C16CC"/>
    <w:rsid w:val="005F1ACA"/>
    <w:rsid w:val="0062387E"/>
    <w:rsid w:val="00677337"/>
    <w:rsid w:val="00687CCC"/>
    <w:rsid w:val="006A22F8"/>
    <w:rsid w:val="006A599E"/>
    <w:rsid w:val="006C713F"/>
    <w:rsid w:val="006D0826"/>
    <w:rsid w:val="006D084A"/>
    <w:rsid w:val="006D5EEA"/>
    <w:rsid w:val="006D719E"/>
    <w:rsid w:val="007024FB"/>
    <w:rsid w:val="007357B6"/>
    <w:rsid w:val="007621DD"/>
    <w:rsid w:val="007C1D1C"/>
    <w:rsid w:val="007C32D6"/>
    <w:rsid w:val="007C3E2C"/>
    <w:rsid w:val="007D6BA1"/>
    <w:rsid w:val="00800BD6"/>
    <w:rsid w:val="008109AD"/>
    <w:rsid w:val="008119C5"/>
    <w:rsid w:val="00820851"/>
    <w:rsid w:val="00822699"/>
    <w:rsid w:val="00825908"/>
    <w:rsid w:val="00826C8F"/>
    <w:rsid w:val="00837EC7"/>
    <w:rsid w:val="00877858"/>
    <w:rsid w:val="008A1768"/>
    <w:rsid w:val="008A5E04"/>
    <w:rsid w:val="008B1D49"/>
    <w:rsid w:val="008B6E6E"/>
    <w:rsid w:val="008E2ED1"/>
    <w:rsid w:val="008E7D45"/>
    <w:rsid w:val="008F78E6"/>
    <w:rsid w:val="0090718E"/>
    <w:rsid w:val="00937B60"/>
    <w:rsid w:val="0095558E"/>
    <w:rsid w:val="00971722"/>
    <w:rsid w:val="0099158D"/>
    <w:rsid w:val="009A1D85"/>
    <w:rsid w:val="009B046A"/>
    <w:rsid w:val="009D0BF0"/>
    <w:rsid w:val="009D5E68"/>
    <w:rsid w:val="009D7B23"/>
    <w:rsid w:val="009F42E4"/>
    <w:rsid w:val="00A20523"/>
    <w:rsid w:val="00A366CC"/>
    <w:rsid w:val="00A57E9B"/>
    <w:rsid w:val="00A804F8"/>
    <w:rsid w:val="00A828A1"/>
    <w:rsid w:val="00A973E5"/>
    <w:rsid w:val="00AB509B"/>
    <w:rsid w:val="00AD39E6"/>
    <w:rsid w:val="00AE2D84"/>
    <w:rsid w:val="00AE3A55"/>
    <w:rsid w:val="00B542E5"/>
    <w:rsid w:val="00B94BD8"/>
    <w:rsid w:val="00BA5518"/>
    <w:rsid w:val="00BC2437"/>
    <w:rsid w:val="00BC2DB9"/>
    <w:rsid w:val="00BC763D"/>
    <w:rsid w:val="00BD7E76"/>
    <w:rsid w:val="00BE7704"/>
    <w:rsid w:val="00BF22FF"/>
    <w:rsid w:val="00BF2994"/>
    <w:rsid w:val="00BF3E5A"/>
    <w:rsid w:val="00BF4880"/>
    <w:rsid w:val="00C01D4F"/>
    <w:rsid w:val="00C16860"/>
    <w:rsid w:val="00C2144F"/>
    <w:rsid w:val="00C256A7"/>
    <w:rsid w:val="00C2632F"/>
    <w:rsid w:val="00C47F23"/>
    <w:rsid w:val="00C6552D"/>
    <w:rsid w:val="00C752F4"/>
    <w:rsid w:val="00CA2896"/>
    <w:rsid w:val="00CB3549"/>
    <w:rsid w:val="00CD6DCE"/>
    <w:rsid w:val="00D0707C"/>
    <w:rsid w:val="00D17CB5"/>
    <w:rsid w:val="00D226DE"/>
    <w:rsid w:val="00D270BC"/>
    <w:rsid w:val="00D41BE0"/>
    <w:rsid w:val="00DC762A"/>
    <w:rsid w:val="00DD0C30"/>
    <w:rsid w:val="00DF308F"/>
    <w:rsid w:val="00E1430C"/>
    <w:rsid w:val="00E16A0E"/>
    <w:rsid w:val="00E16B27"/>
    <w:rsid w:val="00E26E44"/>
    <w:rsid w:val="00E554BF"/>
    <w:rsid w:val="00E573CA"/>
    <w:rsid w:val="00E579BF"/>
    <w:rsid w:val="00E66492"/>
    <w:rsid w:val="00E66AEA"/>
    <w:rsid w:val="00E72519"/>
    <w:rsid w:val="00E84ADD"/>
    <w:rsid w:val="00E85DB9"/>
    <w:rsid w:val="00E86529"/>
    <w:rsid w:val="00E907D9"/>
    <w:rsid w:val="00EA4734"/>
    <w:rsid w:val="00EA5291"/>
    <w:rsid w:val="00EB070D"/>
    <w:rsid w:val="00EC1F75"/>
    <w:rsid w:val="00EC51CF"/>
    <w:rsid w:val="00EC68C4"/>
    <w:rsid w:val="00ED0EC3"/>
    <w:rsid w:val="00F17F92"/>
    <w:rsid w:val="00F2257F"/>
    <w:rsid w:val="00F24E1E"/>
    <w:rsid w:val="00F372D1"/>
    <w:rsid w:val="00F37405"/>
    <w:rsid w:val="00F5187C"/>
    <w:rsid w:val="00F86862"/>
    <w:rsid w:val="00FA0BB9"/>
    <w:rsid w:val="00FC4BAB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paragraph" w:styleId="KeinLeerraum">
    <w:name w:val="No Spacing"/>
    <w:uiPriority w:val="1"/>
    <w:qFormat/>
    <w:rsid w:val="00877858"/>
    <w:rPr>
      <w:rFonts w:ascii="Arial" w:hAnsi="Arial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8A5E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B0B1E-2566-4FD5-9044-9EEBF11FA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3</Pages>
  <Words>585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Hamann</dc:creator>
  <cp:lastModifiedBy>Foerster</cp:lastModifiedBy>
  <cp:revision>2</cp:revision>
  <dcterms:created xsi:type="dcterms:W3CDTF">2017-07-24T07:55:00Z</dcterms:created>
  <dcterms:modified xsi:type="dcterms:W3CDTF">2017-07-24T07:55:00Z</dcterms:modified>
</cp:coreProperties>
</file>