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A7325" w:rsidP="001522B8">
            <w:pPr>
              <w:spacing w:before="200" w:after="200"/>
            </w:pPr>
            <w:r>
              <w:t>Kunst, Sek</w:t>
            </w:r>
            <w:r w:rsidR="001522B8">
              <w:t>undarstufe 1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1522B8" w:rsidRDefault="00EA7325" w:rsidP="00321743">
            <w:pPr>
              <w:spacing w:before="200" w:after="200"/>
            </w:pPr>
            <w:r w:rsidRPr="001522B8">
              <w:t>Die Importierten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1522B8" w:rsidP="001522B8">
            <w:pPr>
              <w:spacing w:before="200" w:after="200"/>
            </w:pPr>
            <w:r>
              <w:t>G</w:t>
            </w:r>
            <w:r w:rsidR="00EA7325">
              <w:t>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A7325" w:rsidP="00321743">
            <w:pPr>
              <w:tabs>
                <w:tab w:val="left" w:pos="1373"/>
              </w:tabs>
              <w:spacing w:before="200" w:after="200"/>
            </w:pPr>
            <w:r>
              <w:t>Ästhetische Praktiken, Werkzeuge, Techniken und künstler</w:t>
            </w:r>
            <w:r>
              <w:t>i</w:t>
            </w:r>
            <w:r>
              <w:t>sche Strategien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A7325" w:rsidP="00BE7704">
            <w:pPr>
              <w:tabs>
                <w:tab w:val="left" w:pos="1190"/>
              </w:tabs>
              <w:spacing w:before="200" w:after="200"/>
            </w:pPr>
            <w:r>
              <w:t>F/G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023F" w:rsidP="0097023F">
            <w:pPr>
              <w:tabs>
                <w:tab w:val="left" w:pos="1190"/>
              </w:tabs>
              <w:spacing w:before="200" w:after="200"/>
            </w:pPr>
            <w:r>
              <w:t>D</w:t>
            </w:r>
            <w:r w:rsidR="00EA7325">
              <w:t xml:space="preserve">ie Schülerinnen und Schüler können ihre zeichnerischen, </w:t>
            </w:r>
            <w:r w:rsidR="00CE7080">
              <w:t>(…)</w:t>
            </w:r>
            <w:r w:rsidR="00EA7325">
              <w:t xml:space="preserve"> und medialen Gestaltungsfähigkeiten gezielt </w:t>
            </w:r>
            <w:r w:rsidR="00CE7080">
              <w:t>(…)</w:t>
            </w:r>
            <w:r w:rsidR="00EA7325">
              <w:t xml:space="preserve"> anwenden.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A7325" w:rsidP="00321743">
            <w:pPr>
              <w:tabs>
                <w:tab w:val="left" w:pos="1190"/>
              </w:tabs>
              <w:spacing w:before="200" w:after="200"/>
            </w:pPr>
            <w:r>
              <w:t>Comic und Animation, Identität und Lebensweisen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E708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C5E9D" w:rsidP="00321743">
            <w:pPr>
              <w:spacing w:before="200" w:after="200"/>
            </w:pPr>
            <w:r w:rsidRPr="001C5E9D">
              <w:t>Strategien der Aneignung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F5187C" w:rsidRDefault="00F5187C" w:rsidP="00BF22FF">
      <w:pPr>
        <w:spacing w:before="60" w:after="60"/>
        <w:rPr>
          <w:b/>
        </w:rPr>
      </w:pPr>
    </w:p>
    <w:p w:rsidR="00F862FE" w:rsidRPr="00DD0ADC" w:rsidRDefault="00F862FE" w:rsidP="00F862FE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5765800" cy="4253987"/>
            <wp:effectExtent l="0" t="0" r="6350" b="0"/>
            <wp:docPr id="1" name="ctl00_mainContentPlaceHolder_ucArtworkArea_repArtworkDetails_ctl00_ucBasicDetailsControl_ucArtworkImageControl_repArtworkImage_ctl00_ucViewInScale_imgViewInScale" descr="der uckermärker und die importierten by theodor (fried. wilhelm heinrich th.) hos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ucArtworkArea_repArtworkDetails_ctl00_ucBasicDetailsControl_ucArtworkImageControl_repArtworkImage_ctl00_ucViewInScale_imgViewInScale" descr="der uckermärker und die importierten by theodor (fried. wilhelm heinrich th.) hoseman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75" cy="425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80" w:rsidRPr="006F3204" w:rsidRDefault="0097023F" w:rsidP="00764411">
      <w:pPr>
        <w:spacing w:before="60" w:line="240" w:lineRule="auto"/>
        <w:rPr>
          <w:rFonts w:eastAsia="Times New Roman" w:cs="Arial"/>
          <w:color w:val="000000" w:themeColor="text1"/>
          <w:sz w:val="16"/>
          <w:szCs w:val="16"/>
          <w:lang w:eastAsia="de-DE"/>
        </w:rPr>
      </w:pPr>
      <w:proofErr w:type="spellStart"/>
      <w:r w:rsidRPr="001C5E9D">
        <w:rPr>
          <w:rFonts w:eastAsia="Times New Roman" w:cs="Arial"/>
          <w:sz w:val="16"/>
          <w:szCs w:val="16"/>
          <w:lang w:eastAsia="de-DE"/>
        </w:rPr>
        <w:t>Hosemann</w:t>
      </w:r>
      <w:proofErr w:type="spellEnd"/>
      <w:r w:rsidRPr="001C5E9D">
        <w:rPr>
          <w:rFonts w:eastAsia="Times New Roman" w:cs="Arial"/>
          <w:sz w:val="16"/>
          <w:szCs w:val="16"/>
          <w:lang w:eastAsia="de-DE"/>
        </w:rPr>
        <w:t xml:space="preserve">, </w:t>
      </w:r>
      <w:r w:rsidR="00F862FE" w:rsidRPr="001C5E9D">
        <w:rPr>
          <w:rFonts w:eastAsia="Times New Roman" w:cs="Arial"/>
          <w:sz w:val="16"/>
          <w:szCs w:val="16"/>
          <w:lang w:eastAsia="de-DE"/>
        </w:rPr>
        <w:t xml:space="preserve">Theodor (Fried. Wilhelm Heinrich </w:t>
      </w:r>
      <w:proofErr w:type="spellStart"/>
      <w:r w:rsidR="00F862FE" w:rsidRPr="001C5E9D">
        <w:rPr>
          <w:rFonts w:eastAsia="Times New Roman" w:cs="Arial"/>
          <w:sz w:val="16"/>
          <w:szCs w:val="16"/>
          <w:lang w:eastAsia="de-DE"/>
        </w:rPr>
        <w:t>Th</w:t>
      </w:r>
      <w:proofErr w:type="spellEnd"/>
      <w:r w:rsidR="00F862FE" w:rsidRPr="001C5E9D">
        <w:rPr>
          <w:rFonts w:eastAsia="Times New Roman" w:cs="Arial"/>
          <w:sz w:val="16"/>
          <w:szCs w:val="16"/>
          <w:lang w:eastAsia="de-DE"/>
        </w:rPr>
        <w:t>.)</w:t>
      </w:r>
      <w:r w:rsidRPr="001C5E9D">
        <w:rPr>
          <w:rFonts w:eastAsia="Times New Roman" w:cs="Arial"/>
          <w:sz w:val="16"/>
          <w:szCs w:val="16"/>
          <w:lang w:eastAsia="de-DE"/>
        </w:rPr>
        <w:t>.</w:t>
      </w:r>
      <w:r w:rsidR="00F862FE" w:rsidRPr="001C5E9D">
        <w:rPr>
          <w:rFonts w:eastAsia="Times New Roman" w:cs="Arial"/>
          <w:sz w:val="16"/>
          <w:szCs w:val="16"/>
          <w:lang w:eastAsia="de-DE"/>
        </w:rPr>
        <w:t xml:space="preserve"> </w:t>
      </w:r>
      <w:r w:rsidR="00F862FE" w:rsidRPr="001C5E9D">
        <w:rPr>
          <w:rFonts w:eastAsia="Times New Roman" w:cs="Arial"/>
          <w:i/>
          <w:iCs/>
          <w:sz w:val="16"/>
          <w:szCs w:val="16"/>
          <w:lang w:eastAsia="de-DE"/>
        </w:rPr>
        <w:t xml:space="preserve">Der </w:t>
      </w:r>
      <w:proofErr w:type="spellStart"/>
      <w:r w:rsidR="00F862FE" w:rsidRPr="001C5E9D">
        <w:rPr>
          <w:rFonts w:eastAsia="Times New Roman" w:cs="Arial"/>
          <w:i/>
          <w:iCs/>
          <w:sz w:val="16"/>
          <w:szCs w:val="16"/>
          <w:lang w:eastAsia="de-DE"/>
        </w:rPr>
        <w:t>Uckermärker</w:t>
      </w:r>
      <w:proofErr w:type="spellEnd"/>
      <w:r w:rsidR="00F862FE" w:rsidRPr="001C5E9D">
        <w:rPr>
          <w:rFonts w:eastAsia="Times New Roman" w:cs="Arial"/>
          <w:i/>
          <w:iCs/>
          <w:sz w:val="16"/>
          <w:szCs w:val="16"/>
          <w:lang w:eastAsia="de-DE"/>
        </w:rPr>
        <w:t xml:space="preserve"> und die Importierten</w:t>
      </w:r>
      <w:r w:rsidRPr="001C5E9D">
        <w:rPr>
          <w:rFonts w:eastAsia="Times New Roman" w:cs="Arial"/>
          <w:i/>
          <w:iCs/>
          <w:sz w:val="16"/>
          <w:szCs w:val="16"/>
          <w:lang w:eastAsia="de-DE"/>
        </w:rPr>
        <w:t>.</w:t>
      </w:r>
      <w:r w:rsidR="00F862FE" w:rsidRPr="001C5E9D">
        <w:rPr>
          <w:rFonts w:eastAsia="Times New Roman" w:cs="Arial"/>
          <w:sz w:val="16"/>
          <w:szCs w:val="16"/>
          <w:lang w:eastAsia="de-DE"/>
        </w:rPr>
        <w:t xml:space="preserve"> 1864, </w:t>
      </w:r>
      <w:r w:rsidR="00963382" w:rsidRPr="001C5E9D">
        <w:rPr>
          <w:rFonts w:eastAsia="Times New Roman" w:cs="Arial"/>
          <w:sz w:val="16"/>
          <w:szCs w:val="16"/>
          <w:lang w:eastAsia="de-DE"/>
        </w:rPr>
        <w:t xml:space="preserve">© </w:t>
      </w:r>
      <w:proofErr w:type="spellStart"/>
      <w:r w:rsidR="00963382" w:rsidRPr="001C5E9D">
        <w:rPr>
          <w:rFonts w:eastAsia="Times New Roman" w:cs="Arial"/>
          <w:sz w:val="16"/>
          <w:szCs w:val="16"/>
          <w:lang w:eastAsia="de-DE"/>
        </w:rPr>
        <w:t>Grisebach</w:t>
      </w:r>
      <w:proofErr w:type="spellEnd"/>
      <w:r w:rsidR="00963382" w:rsidRPr="001C5E9D">
        <w:rPr>
          <w:rFonts w:eastAsia="Times New Roman" w:cs="Arial"/>
          <w:sz w:val="16"/>
          <w:szCs w:val="16"/>
          <w:lang w:eastAsia="de-DE"/>
        </w:rPr>
        <w:t xml:space="preserve"> GmbH</w:t>
      </w:r>
      <w:r w:rsidR="001C5E9D">
        <w:rPr>
          <w:rFonts w:eastAsia="Times New Roman" w:cs="Arial"/>
          <w:sz w:val="16"/>
          <w:szCs w:val="16"/>
          <w:lang w:eastAsia="de-DE"/>
        </w:rPr>
        <w:t xml:space="preserve">. Verfügbar unter: </w:t>
      </w:r>
      <w:hyperlink r:id="rId12" w:history="1">
        <w:r w:rsidR="001C5E9D" w:rsidRPr="006F3204">
          <w:rPr>
            <w:rStyle w:val="Hyperlink"/>
            <w:rFonts w:eastAsia="Times New Roman" w:cs="Arial"/>
            <w:color w:val="000000" w:themeColor="text1"/>
            <w:sz w:val="16"/>
            <w:szCs w:val="16"/>
            <w:u w:val="none"/>
            <w:lang w:eastAsia="de-DE"/>
          </w:rPr>
          <w:t>http://www.artnet.de/k%C3%BCnstler/theodor-fried-wilhelm-heinrich-th-hosemann/der-uckerm%C3%A4rker-und-die-importierten-0KXf9TN2_N2faPU2tyjE5A2</w:t>
        </w:r>
      </w:hyperlink>
      <w:r w:rsidR="001C5E9D" w:rsidRPr="006F3204">
        <w:rPr>
          <w:rFonts w:eastAsia="Times New Roman" w:cs="Arial"/>
          <w:color w:val="000000" w:themeColor="text1"/>
          <w:sz w:val="16"/>
          <w:szCs w:val="16"/>
          <w:lang w:eastAsia="de-DE"/>
        </w:rPr>
        <w:t>, Zugriff am: 27.10.2017</w:t>
      </w:r>
    </w:p>
    <w:p w:rsidR="00784A3D" w:rsidRPr="0097023F" w:rsidRDefault="00784A3D" w:rsidP="00CE7080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de-DE"/>
        </w:rPr>
      </w:pPr>
    </w:p>
    <w:p w:rsidR="00F862FE" w:rsidRPr="00784A3D" w:rsidRDefault="00CE7080" w:rsidP="00F862FE">
      <w:pPr>
        <w:spacing w:line="240" w:lineRule="auto"/>
        <w:rPr>
          <w:rFonts w:eastAsia="Times New Roman" w:cs="Arial"/>
          <w:b/>
          <w:lang w:eastAsia="de-DE"/>
        </w:rPr>
      </w:pPr>
      <w:r w:rsidRPr="00784A3D">
        <w:rPr>
          <w:rFonts w:eastAsia="Times New Roman" w:cs="Arial"/>
          <w:b/>
          <w:lang w:eastAsia="de-DE"/>
        </w:rPr>
        <w:t>Aufgabe:</w:t>
      </w:r>
    </w:p>
    <w:p w:rsidR="00CE7080" w:rsidRPr="00963382" w:rsidRDefault="00CE7080" w:rsidP="00F862FE">
      <w:pPr>
        <w:spacing w:line="240" w:lineRule="auto"/>
        <w:rPr>
          <w:rFonts w:cs="Arial"/>
        </w:rPr>
      </w:pPr>
    </w:p>
    <w:p w:rsidR="00F862FE" w:rsidRPr="00963382" w:rsidRDefault="00CE7080" w:rsidP="00F862FE">
      <w:pPr>
        <w:spacing w:line="240" w:lineRule="auto"/>
        <w:rPr>
          <w:rFonts w:cs="Arial"/>
        </w:rPr>
      </w:pPr>
      <w:r w:rsidRPr="00963382">
        <w:rPr>
          <w:rFonts w:cs="Arial"/>
        </w:rPr>
        <w:t>Manipuliere</w:t>
      </w:r>
      <w:r w:rsidR="00F862FE" w:rsidRPr="00963382">
        <w:rPr>
          <w:rFonts w:cs="Arial"/>
        </w:rPr>
        <w:t xml:space="preserve"> das Bild durch </w:t>
      </w:r>
      <w:r w:rsidRPr="00963382">
        <w:rPr>
          <w:rFonts w:cs="Arial"/>
        </w:rPr>
        <w:t xml:space="preserve">unterschiedliche </w:t>
      </w:r>
      <w:r w:rsidR="00F862FE" w:rsidRPr="00963382">
        <w:rPr>
          <w:rFonts w:cs="Arial"/>
        </w:rPr>
        <w:t>Sprech- und Denkblasen</w:t>
      </w:r>
      <w:r w:rsidRPr="00963382">
        <w:rPr>
          <w:rFonts w:cs="Arial"/>
        </w:rPr>
        <w:t>; verändere die Inhalte der Blasen und damit auch die Bildaussage.</w:t>
      </w:r>
    </w:p>
    <w:p w:rsidR="00CE7080" w:rsidRPr="00963382" w:rsidRDefault="00CE7080" w:rsidP="00F862FE">
      <w:pPr>
        <w:spacing w:line="240" w:lineRule="auto"/>
        <w:rPr>
          <w:rFonts w:cs="Arial"/>
        </w:rPr>
      </w:pPr>
      <w:r w:rsidRPr="00963382">
        <w:rPr>
          <w:rFonts w:cs="Arial"/>
        </w:rPr>
        <w:t>Verwende unterschiedliche Schrifttypen auf weißem Grund, lege sie abwechseln</w:t>
      </w:r>
      <w:r w:rsidR="00963382" w:rsidRPr="00963382">
        <w:rPr>
          <w:rFonts w:cs="Arial"/>
        </w:rPr>
        <w:t>d</w:t>
      </w:r>
      <w:r w:rsidRPr="00963382">
        <w:rPr>
          <w:rFonts w:cs="Arial"/>
        </w:rPr>
        <w:t xml:space="preserve"> auf.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963382" w:rsidRDefault="00963382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784A3D" w:rsidRDefault="00784A3D" w:rsidP="00BF22FF">
      <w:pPr>
        <w:spacing w:before="60" w:after="60"/>
        <w:rPr>
          <w:b/>
        </w:rPr>
      </w:pPr>
    </w:p>
    <w:p w:rsidR="00764411" w:rsidRDefault="00764411" w:rsidP="00BF22FF">
      <w:pPr>
        <w:spacing w:before="60" w:after="60"/>
        <w:rPr>
          <w:b/>
        </w:rPr>
      </w:pPr>
    </w:p>
    <w:p w:rsidR="00764411" w:rsidRDefault="00764411" w:rsidP="00BF22FF">
      <w:pPr>
        <w:spacing w:before="60" w:after="60"/>
        <w:rPr>
          <w:b/>
        </w:rPr>
      </w:pPr>
    </w:p>
    <w:p w:rsidR="0097023F" w:rsidRDefault="0097023F" w:rsidP="00BF22FF">
      <w:pPr>
        <w:spacing w:before="60" w:after="60"/>
        <w:rPr>
          <w:b/>
        </w:rPr>
      </w:pPr>
    </w:p>
    <w:p w:rsidR="00B31B69" w:rsidRDefault="006D084A" w:rsidP="0042048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784A3D">
        <w:t xml:space="preserve"> 2017</w:t>
      </w:r>
    </w:p>
    <w:p w:rsidR="00B31B69" w:rsidRPr="00764411" w:rsidRDefault="00B31B69" w:rsidP="00784A3D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r w:rsidRPr="00764411">
        <w:rPr>
          <w:sz w:val="16"/>
          <w:szCs w:val="16"/>
        </w:rPr>
        <w:t>Ausgenommen: Bild</w:t>
      </w:r>
      <w:r w:rsidRPr="00764411">
        <w:rPr>
          <w:rFonts w:eastAsia="Times New Roman" w:cs="Arial"/>
          <w:iCs/>
          <w:sz w:val="16"/>
          <w:szCs w:val="16"/>
          <w:lang w:eastAsia="de-DE"/>
        </w:rPr>
        <w:t xml:space="preserve"> </w:t>
      </w:r>
      <w:proofErr w:type="spellStart"/>
      <w:r w:rsidR="001C5E9D" w:rsidRPr="00764411">
        <w:rPr>
          <w:rFonts w:eastAsia="Times New Roman" w:cs="Arial"/>
          <w:iCs/>
          <w:sz w:val="16"/>
          <w:szCs w:val="16"/>
          <w:lang w:eastAsia="de-DE"/>
        </w:rPr>
        <w:t>Hosemann</w:t>
      </w:r>
      <w:proofErr w:type="spellEnd"/>
      <w:r w:rsidR="001C5E9D" w:rsidRPr="00764411">
        <w:rPr>
          <w:rFonts w:eastAsia="Times New Roman" w:cs="Arial"/>
          <w:iCs/>
          <w:sz w:val="16"/>
          <w:szCs w:val="16"/>
          <w:lang w:eastAsia="de-DE"/>
        </w:rPr>
        <w:t xml:space="preserve">. </w:t>
      </w:r>
      <w:r w:rsidRPr="00764411">
        <w:rPr>
          <w:rFonts w:eastAsia="Times New Roman" w:cs="Arial"/>
          <w:iCs/>
          <w:sz w:val="16"/>
          <w:szCs w:val="16"/>
          <w:lang w:eastAsia="de-DE"/>
        </w:rPr>
        <w:t xml:space="preserve">„Der </w:t>
      </w:r>
      <w:proofErr w:type="spellStart"/>
      <w:r w:rsidRPr="00764411">
        <w:rPr>
          <w:rFonts w:eastAsia="Times New Roman" w:cs="Arial"/>
          <w:iCs/>
          <w:sz w:val="16"/>
          <w:szCs w:val="16"/>
          <w:lang w:eastAsia="de-DE"/>
        </w:rPr>
        <w:t>Uckermärker</w:t>
      </w:r>
      <w:proofErr w:type="spellEnd"/>
      <w:r w:rsidRPr="00764411">
        <w:rPr>
          <w:rFonts w:eastAsia="Times New Roman" w:cs="Arial"/>
          <w:iCs/>
          <w:sz w:val="16"/>
          <w:szCs w:val="16"/>
          <w:lang w:eastAsia="de-DE"/>
        </w:rPr>
        <w:t xml:space="preserve"> und die Importierten“</w:t>
      </w:r>
      <w:r w:rsidR="0097023F" w:rsidRPr="00764411">
        <w:rPr>
          <w:rFonts w:eastAsia="Times New Roman" w:cs="Arial"/>
          <w:iCs/>
          <w:sz w:val="16"/>
          <w:szCs w:val="16"/>
          <w:lang w:eastAsia="de-DE"/>
        </w:rPr>
        <w:t>,</w:t>
      </w:r>
      <w:r w:rsidRPr="00764411">
        <w:rPr>
          <w:rFonts w:eastAsia="Times New Roman" w:cs="Arial"/>
          <w:sz w:val="16"/>
          <w:szCs w:val="16"/>
          <w:lang w:eastAsia="de-DE"/>
        </w:rPr>
        <w:t xml:space="preserve"> </w:t>
      </w:r>
      <w:r w:rsidR="001C5E9D" w:rsidRPr="00764411">
        <w:rPr>
          <w:rFonts w:eastAsia="Times New Roman" w:cs="Arial"/>
          <w:sz w:val="16"/>
          <w:szCs w:val="16"/>
          <w:lang w:eastAsia="de-DE"/>
        </w:rPr>
        <w:t xml:space="preserve">© </w:t>
      </w:r>
      <w:proofErr w:type="spellStart"/>
      <w:r w:rsidR="001C5E9D" w:rsidRPr="00764411">
        <w:rPr>
          <w:rFonts w:eastAsia="Times New Roman" w:cs="Arial"/>
          <w:sz w:val="16"/>
          <w:szCs w:val="16"/>
          <w:lang w:eastAsia="de-DE"/>
        </w:rPr>
        <w:t>Grisebach</w:t>
      </w:r>
      <w:proofErr w:type="spellEnd"/>
      <w:r w:rsidR="001C5E9D" w:rsidRPr="00764411">
        <w:rPr>
          <w:rFonts w:eastAsia="Times New Roman" w:cs="Arial"/>
          <w:sz w:val="16"/>
          <w:szCs w:val="16"/>
          <w:lang w:eastAsia="de-DE"/>
        </w:rPr>
        <w:t xml:space="preserve"> GmbH</w:t>
      </w:r>
      <w:r w:rsidRPr="00764411">
        <w:rPr>
          <w:rFonts w:eastAsia="Times New Roman" w:cs="Arial"/>
          <w:sz w:val="16"/>
          <w:szCs w:val="16"/>
          <w:lang w:eastAsia="de-DE"/>
        </w:rPr>
        <w:t xml:space="preserve"> </w:t>
      </w:r>
    </w:p>
    <w:p w:rsidR="00F5187C" w:rsidRPr="0097023F" w:rsidRDefault="00F5187C" w:rsidP="00B31B69">
      <w:pPr>
        <w:rPr>
          <w:b/>
          <w:sz w:val="24"/>
          <w:szCs w:val="24"/>
        </w:rPr>
      </w:pPr>
      <w:bookmarkStart w:id="0" w:name="_GoBack"/>
      <w:bookmarkEnd w:id="0"/>
      <w:r w:rsidRPr="0097023F">
        <w:rPr>
          <w:b/>
          <w:sz w:val="24"/>
          <w:szCs w:val="24"/>
        </w:rPr>
        <w:lastRenderedPageBreak/>
        <w:t>Erwartungshorizont:</w:t>
      </w:r>
    </w:p>
    <w:p w:rsidR="00C2144F" w:rsidRDefault="00C2144F" w:rsidP="00BF22FF">
      <w:pPr>
        <w:spacing w:before="60" w:after="60"/>
        <w:rPr>
          <w:b/>
        </w:rPr>
      </w:pPr>
    </w:p>
    <w:p w:rsidR="00D22A35" w:rsidRDefault="00963382" w:rsidP="00963382">
      <w:pPr>
        <w:pStyle w:val="Listenabsatz"/>
        <w:numPr>
          <w:ilvl w:val="0"/>
          <w:numId w:val="11"/>
        </w:numPr>
        <w:spacing w:before="60" w:after="60"/>
      </w:pPr>
      <w:r>
        <w:t>d</w:t>
      </w:r>
      <w:r w:rsidR="00D22A35" w:rsidRPr="00D22A35">
        <w:t xml:space="preserve">ie </w:t>
      </w:r>
      <w:r w:rsidR="00D22A35">
        <w:t>(unkommentie</w:t>
      </w:r>
      <w:r w:rsidR="00A73177">
        <w:t xml:space="preserve">rte) Bildaussage wurde erfasst, </w:t>
      </w:r>
      <w:r w:rsidR="00D22A35">
        <w:t>ein Bezug zu heute hergestellt</w:t>
      </w:r>
    </w:p>
    <w:p w:rsidR="00963382" w:rsidRDefault="00963382" w:rsidP="00BF22FF">
      <w:pPr>
        <w:pStyle w:val="Listenabsatz"/>
        <w:numPr>
          <w:ilvl w:val="0"/>
          <w:numId w:val="11"/>
        </w:numPr>
        <w:spacing w:before="60" w:after="60"/>
      </w:pPr>
      <w:r>
        <w:t>der Inhalt der Sprech- und Denkblasen stellt auf überraschende,</w:t>
      </w:r>
      <w:r w:rsidR="00A73177">
        <w:t xml:space="preserve"> witzi</w:t>
      </w:r>
      <w:r>
        <w:t>ge, absurde,</w:t>
      </w:r>
      <w:r w:rsidR="00A73177">
        <w:t xml:space="preserve"> romanti</w:t>
      </w:r>
      <w:r>
        <w:t>sche oder andere</w:t>
      </w:r>
      <w:r w:rsidR="00A73177">
        <w:t xml:space="preserve"> Weise ei</w:t>
      </w:r>
      <w:r>
        <w:t>nen Bezug zum Bild her</w:t>
      </w:r>
    </w:p>
    <w:p w:rsidR="00A73177" w:rsidRPr="00D22A35" w:rsidRDefault="00963382" w:rsidP="00BF22FF">
      <w:pPr>
        <w:pStyle w:val="Listenabsatz"/>
        <w:numPr>
          <w:ilvl w:val="0"/>
          <w:numId w:val="11"/>
        </w:numPr>
        <w:spacing w:before="60" w:after="60"/>
      </w:pPr>
      <w:r>
        <w:t>d</w:t>
      </w:r>
      <w:r w:rsidR="00A73177">
        <w:t>ie Gestaltung der Schrifttypen wird als a</w:t>
      </w:r>
      <w:r>
        <w:t>ussagefähiges Medium eingesetzt</w:t>
      </w:r>
      <w:r w:rsidR="0097023F">
        <w:t>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177EF" w:rsidRDefault="007177E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64411" w:rsidRDefault="00764411" w:rsidP="00BF22FF">
      <w:pPr>
        <w:spacing w:before="60" w:after="60"/>
        <w:rPr>
          <w:b/>
        </w:rPr>
      </w:pPr>
    </w:p>
    <w:p w:rsidR="00764411" w:rsidRDefault="00764411" w:rsidP="00BF22FF">
      <w:pPr>
        <w:spacing w:before="60" w:after="60"/>
        <w:rPr>
          <w:b/>
        </w:rPr>
      </w:pPr>
    </w:p>
    <w:p w:rsidR="00764411" w:rsidRDefault="00764411" w:rsidP="00BF22FF">
      <w:pPr>
        <w:spacing w:before="60" w:after="60"/>
        <w:rPr>
          <w:b/>
        </w:rPr>
      </w:pPr>
    </w:p>
    <w:p w:rsidR="00B31B69" w:rsidRDefault="00B31B69" w:rsidP="00764411">
      <w:r>
        <w:rPr>
          <w:noProof/>
          <w:lang w:eastAsia="de-DE"/>
        </w:rPr>
        <w:drawing>
          <wp:inline distT="0" distB="0" distL="0" distR="0" wp14:anchorId="68BC1EE3" wp14:editId="13F9D9A9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764411">
        <w:t xml:space="preserve"> 2017</w:t>
      </w:r>
    </w:p>
    <w:p w:rsidR="00B31B69" w:rsidRPr="00764411" w:rsidRDefault="00B31B69" w:rsidP="00764411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r w:rsidRPr="00764411">
        <w:rPr>
          <w:sz w:val="16"/>
          <w:szCs w:val="16"/>
        </w:rPr>
        <w:t>Ausgenommen: Bild</w:t>
      </w:r>
      <w:r w:rsidRPr="00764411">
        <w:rPr>
          <w:rFonts w:eastAsia="Times New Roman" w:cs="Arial"/>
          <w:iCs/>
          <w:sz w:val="16"/>
          <w:szCs w:val="16"/>
          <w:lang w:eastAsia="de-DE"/>
        </w:rPr>
        <w:t xml:space="preserve"> „Der </w:t>
      </w:r>
      <w:proofErr w:type="spellStart"/>
      <w:r w:rsidRPr="00764411">
        <w:rPr>
          <w:rFonts w:eastAsia="Times New Roman" w:cs="Arial"/>
          <w:iCs/>
          <w:sz w:val="16"/>
          <w:szCs w:val="16"/>
          <w:lang w:eastAsia="de-DE"/>
        </w:rPr>
        <w:t>Uckermärker</w:t>
      </w:r>
      <w:proofErr w:type="spellEnd"/>
      <w:r w:rsidRPr="00764411">
        <w:rPr>
          <w:rFonts w:eastAsia="Times New Roman" w:cs="Arial"/>
          <w:iCs/>
          <w:sz w:val="16"/>
          <w:szCs w:val="16"/>
          <w:lang w:eastAsia="de-DE"/>
        </w:rPr>
        <w:t xml:space="preserve"> und die Importierten“</w:t>
      </w:r>
      <w:r w:rsidRPr="00764411">
        <w:rPr>
          <w:rFonts w:eastAsia="Times New Roman" w:cs="Arial"/>
          <w:sz w:val="16"/>
          <w:szCs w:val="16"/>
          <w:lang w:eastAsia="de-DE"/>
        </w:rPr>
        <w:t xml:space="preserve">  © </w:t>
      </w:r>
      <w:proofErr w:type="spellStart"/>
      <w:r w:rsidRPr="00764411">
        <w:rPr>
          <w:rFonts w:eastAsia="Times New Roman" w:cs="Arial"/>
          <w:sz w:val="16"/>
          <w:szCs w:val="16"/>
          <w:lang w:eastAsia="de-DE"/>
        </w:rPr>
        <w:t>Grisebach</w:t>
      </w:r>
      <w:proofErr w:type="spellEnd"/>
      <w:r w:rsidRPr="00764411">
        <w:rPr>
          <w:rFonts w:eastAsia="Times New Roman" w:cs="Arial"/>
          <w:sz w:val="16"/>
          <w:szCs w:val="16"/>
          <w:lang w:eastAsia="de-DE"/>
        </w:rPr>
        <w:t xml:space="preserve"> GmbH</w:t>
      </w:r>
    </w:p>
    <w:sectPr w:rsidR="00B31B69" w:rsidRPr="00764411" w:rsidSect="004851BE">
      <w:head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7" w:rsidRDefault="00324D27" w:rsidP="00837EC7">
      <w:pPr>
        <w:spacing w:line="240" w:lineRule="auto"/>
      </w:pPr>
      <w:r>
        <w:separator/>
      </w:r>
    </w:p>
  </w:endnote>
  <w:endnote w:type="continuationSeparator" w:id="0">
    <w:p w:rsidR="00324D27" w:rsidRDefault="00324D2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D22A35" w:rsidRDefault="00D22A3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31B69">
          <w:fldChar w:fldCharType="begin"/>
        </w:r>
        <w:r w:rsidR="00B31B69">
          <w:instrText xml:space="preserve"> PAGE   \* MERGEFORMAT </w:instrText>
        </w:r>
        <w:r w:rsidR="00B31B69">
          <w:fldChar w:fldCharType="separate"/>
        </w:r>
        <w:r w:rsidR="006A05EC">
          <w:rPr>
            <w:noProof/>
          </w:rPr>
          <w:t>2</w:t>
        </w:r>
        <w:r w:rsidR="00B31B6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7" w:rsidRDefault="00324D27" w:rsidP="00837EC7">
      <w:pPr>
        <w:spacing w:line="240" w:lineRule="auto"/>
      </w:pPr>
      <w:r>
        <w:separator/>
      </w:r>
    </w:p>
  </w:footnote>
  <w:footnote w:type="continuationSeparator" w:id="0">
    <w:p w:rsidR="00324D27" w:rsidRDefault="00324D2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35" w:rsidRPr="00201324" w:rsidRDefault="00D22A35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35" w:rsidRPr="006A05EC" w:rsidRDefault="00D22A35" w:rsidP="006A05EC">
    <w:pPr>
      <w:pStyle w:val="Kopfzeile"/>
      <w:pBdr>
        <w:bottom w:val="single" w:sz="4" w:space="1" w:color="auto"/>
      </w:pBdr>
      <w:spacing w:line="24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6069"/>
    <w:multiLevelType w:val="hybridMultilevel"/>
    <w:tmpl w:val="2F98348A"/>
    <w:lvl w:ilvl="0" w:tplc="81C04B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22B8"/>
    <w:rsid w:val="00155F4E"/>
    <w:rsid w:val="001634E6"/>
    <w:rsid w:val="00163D87"/>
    <w:rsid w:val="00185133"/>
    <w:rsid w:val="001A71B9"/>
    <w:rsid w:val="001B043E"/>
    <w:rsid w:val="001C3197"/>
    <w:rsid w:val="001C5E9D"/>
    <w:rsid w:val="001F319E"/>
    <w:rsid w:val="00201324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4D27"/>
    <w:rsid w:val="00334567"/>
    <w:rsid w:val="00363539"/>
    <w:rsid w:val="00381AB2"/>
    <w:rsid w:val="003B29D6"/>
    <w:rsid w:val="003F4234"/>
    <w:rsid w:val="0040115E"/>
    <w:rsid w:val="004072A0"/>
    <w:rsid w:val="00411347"/>
    <w:rsid w:val="00420481"/>
    <w:rsid w:val="00432230"/>
    <w:rsid w:val="0043499D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946C2"/>
    <w:rsid w:val="006A05EC"/>
    <w:rsid w:val="006A22F8"/>
    <w:rsid w:val="006A599E"/>
    <w:rsid w:val="006C713F"/>
    <w:rsid w:val="006D084A"/>
    <w:rsid w:val="006D5EEA"/>
    <w:rsid w:val="006D719E"/>
    <w:rsid w:val="006F3204"/>
    <w:rsid w:val="007024FB"/>
    <w:rsid w:val="007177EF"/>
    <w:rsid w:val="007357B6"/>
    <w:rsid w:val="007621DD"/>
    <w:rsid w:val="00764411"/>
    <w:rsid w:val="00784A3D"/>
    <w:rsid w:val="007C1D1C"/>
    <w:rsid w:val="007C32D6"/>
    <w:rsid w:val="007C3E2C"/>
    <w:rsid w:val="007D6BA1"/>
    <w:rsid w:val="007E5DA2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63382"/>
    <w:rsid w:val="0097023F"/>
    <w:rsid w:val="00971722"/>
    <w:rsid w:val="009A1D85"/>
    <w:rsid w:val="009B046A"/>
    <w:rsid w:val="009F42E4"/>
    <w:rsid w:val="00A20523"/>
    <w:rsid w:val="00A3326E"/>
    <w:rsid w:val="00A366CC"/>
    <w:rsid w:val="00A528DF"/>
    <w:rsid w:val="00A57E9B"/>
    <w:rsid w:val="00A73177"/>
    <w:rsid w:val="00A804F8"/>
    <w:rsid w:val="00A828A1"/>
    <w:rsid w:val="00A973E5"/>
    <w:rsid w:val="00AB509B"/>
    <w:rsid w:val="00AD39E6"/>
    <w:rsid w:val="00AE2D84"/>
    <w:rsid w:val="00AE3A55"/>
    <w:rsid w:val="00B20636"/>
    <w:rsid w:val="00B31B69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E7080"/>
    <w:rsid w:val="00D0707C"/>
    <w:rsid w:val="00D226DE"/>
    <w:rsid w:val="00D22A35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A7325"/>
    <w:rsid w:val="00EB070D"/>
    <w:rsid w:val="00EC1F75"/>
    <w:rsid w:val="00EC51CF"/>
    <w:rsid w:val="00EC68C4"/>
    <w:rsid w:val="00ED0EC3"/>
    <w:rsid w:val="00EE259F"/>
    <w:rsid w:val="00F17F92"/>
    <w:rsid w:val="00F2257F"/>
    <w:rsid w:val="00F372D1"/>
    <w:rsid w:val="00F5187C"/>
    <w:rsid w:val="00F6447B"/>
    <w:rsid w:val="00F85379"/>
    <w:rsid w:val="00F862FE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862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5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862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5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net.de/k%C3%BCnstler/theodor-fried-wilhelm-heinrich-th-hosemann/der-uckerm%C3%A4rker-und-die-importierten-0KXf9TN2_N2faPU2tyjE5A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7689-EEA1-4246-B3F3-C7BB923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dcterms:created xsi:type="dcterms:W3CDTF">2017-11-07T13:42:00Z</dcterms:created>
  <dcterms:modified xsi:type="dcterms:W3CDTF">2017-11-07T14:08:00Z</dcterms:modified>
</cp:coreProperties>
</file>