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2321F" w:rsidP="00321743">
            <w:pPr>
              <w:spacing w:before="200" w:after="200"/>
            </w:pPr>
            <w:r>
              <w:t>Naturwissenschaft 7-10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2321F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2321F" w:rsidP="00321743">
            <w:pPr>
              <w:tabs>
                <w:tab w:val="left" w:pos="1373"/>
              </w:tabs>
              <w:spacing w:before="200" w:after="200"/>
            </w:pPr>
            <w:r>
              <w:rPr>
                <w:rFonts w:cs="Arial"/>
              </w:rPr>
              <w:t>Naturwissenschaftlicher Sachverhalte beschrei</w:t>
            </w:r>
            <w:r w:rsidRPr="00912B0B">
              <w:rPr>
                <w:rFonts w:cs="Arial"/>
              </w:rPr>
              <w:t>ben und erklären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2321F" w:rsidP="00BE7704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02321F" w:rsidP="0070063F">
            <w:pPr>
              <w:tabs>
                <w:tab w:val="left" w:pos="1190"/>
              </w:tabs>
              <w:spacing w:before="200" w:after="200"/>
            </w:pPr>
            <w:r>
              <w:rPr>
                <w:rFonts w:cs="Arial"/>
              </w:rPr>
              <w:t xml:space="preserve">Die </w:t>
            </w:r>
            <w:r w:rsidR="00C24B68">
              <w:rPr>
                <w:rFonts w:cs="Arial"/>
              </w:rPr>
              <w:t>Schülerinnen und Schüler</w:t>
            </w:r>
            <w:r>
              <w:rPr>
                <w:rFonts w:cs="Arial"/>
              </w:rPr>
              <w:t xml:space="preserve"> können naturwissenschaftliche Sachverhalte </w:t>
            </w:r>
            <w:r w:rsidRPr="00912B0B">
              <w:rPr>
                <w:rFonts w:cs="Arial"/>
              </w:rPr>
              <w:t>in Fachkontexten</w:t>
            </w:r>
            <w:r>
              <w:rPr>
                <w:rFonts w:cs="Arial"/>
              </w:rPr>
              <w:t xml:space="preserve"> erklären</w:t>
            </w:r>
            <w:r w:rsidR="00C24B68">
              <w:rPr>
                <w:rFonts w:cs="Arial"/>
              </w:rPr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C24B68" w:rsidP="00321743">
            <w:pPr>
              <w:tabs>
                <w:tab w:val="left" w:pos="1190"/>
              </w:tabs>
              <w:spacing w:before="200" w:after="200"/>
            </w:pPr>
            <w:r>
              <w:t xml:space="preserve">TF 4: </w:t>
            </w:r>
            <w:r w:rsidR="0002321F">
              <w:t>Wasser ist Leben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7D7945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7D7945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7D794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7D7945" w:rsidP="00321743">
            <w:pPr>
              <w:spacing w:before="200" w:after="200"/>
            </w:pPr>
            <w:r>
              <w:t xml:space="preserve">Anpassung, </w:t>
            </w:r>
            <w:proofErr w:type="spellStart"/>
            <w:r>
              <w:t>Queller</w:t>
            </w:r>
            <w:proofErr w:type="spellEnd"/>
            <w:r>
              <w:t>, Salzpflanze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24B68" w:rsidRDefault="00C24B68" w:rsidP="00BF22FF">
      <w:pPr>
        <w:spacing w:before="60" w:after="60"/>
        <w:rPr>
          <w:b/>
          <w:sz w:val="24"/>
          <w:szCs w:val="24"/>
        </w:rPr>
      </w:pPr>
    </w:p>
    <w:p w:rsidR="00C24B68" w:rsidRPr="00E95C2B" w:rsidRDefault="00C24B68" w:rsidP="00BF22FF">
      <w:pPr>
        <w:spacing w:before="60" w:after="60"/>
        <w:rPr>
          <w:b/>
          <w:sz w:val="24"/>
          <w:szCs w:val="24"/>
        </w:rPr>
      </w:pPr>
      <w:r w:rsidRPr="00E95C2B">
        <w:rPr>
          <w:b/>
        </w:rPr>
        <w:t xml:space="preserve">Der </w:t>
      </w:r>
      <w:proofErr w:type="spellStart"/>
      <w:r w:rsidRPr="00E95C2B">
        <w:rPr>
          <w:b/>
        </w:rPr>
        <w:t>Queller</w:t>
      </w:r>
      <w:proofErr w:type="spellEnd"/>
      <w:r w:rsidRPr="00E95C2B">
        <w:rPr>
          <w:b/>
        </w:rPr>
        <w:t xml:space="preserve"> </w:t>
      </w:r>
      <w:r w:rsidR="00E95C2B" w:rsidRPr="00E95C2B">
        <w:rPr>
          <w:b/>
        </w:rPr>
        <w:t>–</w:t>
      </w:r>
      <w:r w:rsidRPr="00E95C2B">
        <w:rPr>
          <w:b/>
        </w:rPr>
        <w:t xml:space="preserve"> </w:t>
      </w:r>
      <w:r w:rsidR="00E95C2B" w:rsidRPr="00E95C2B">
        <w:rPr>
          <w:b/>
        </w:rPr>
        <w:t xml:space="preserve">die </w:t>
      </w:r>
      <w:r w:rsidR="00E95C2B">
        <w:rPr>
          <w:b/>
        </w:rPr>
        <w:t>„</w:t>
      </w:r>
      <w:r w:rsidR="00E95C2B" w:rsidRPr="00E95C2B">
        <w:rPr>
          <w:b/>
        </w:rPr>
        <w:t>Salzstange des Nordens</w:t>
      </w:r>
      <w:r w:rsidR="00E95C2B">
        <w:rPr>
          <w:b/>
        </w:rPr>
        <w:t>“</w:t>
      </w:r>
      <w:r w:rsidRPr="00E95C2B">
        <w:rPr>
          <w:b/>
        </w:rPr>
        <w:t xml:space="preserve"> </w:t>
      </w:r>
    </w:p>
    <w:tbl>
      <w:tblPr>
        <w:tblW w:w="9356" w:type="dxa"/>
        <w:tblInd w:w="108" w:type="dxa"/>
        <w:tblLook w:val="04A0"/>
      </w:tblPr>
      <w:tblGrid>
        <w:gridCol w:w="4026"/>
        <w:gridCol w:w="5330"/>
      </w:tblGrid>
      <w:tr w:rsidR="00307CEB" w:rsidRPr="004D4457" w:rsidTr="00AE461F">
        <w:trPr>
          <w:trHeight w:val="5516"/>
        </w:trPr>
        <w:tc>
          <w:tcPr>
            <w:tcW w:w="4011" w:type="dxa"/>
            <w:shd w:val="clear" w:color="auto" w:fill="auto"/>
          </w:tcPr>
          <w:p w:rsidR="00307CEB" w:rsidRDefault="009713DA" w:rsidP="004D4457">
            <w:pPr>
              <w:spacing w:before="60" w:after="6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09825" cy="3209925"/>
                  <wp:effectExtent l="0" t="0" r="9525" b="9525"/>
                  <wp:docPr id="2" name="Bild 2" descr="http://upload.wikimedia.org/wikipedia/commons/e/e3/Salicornia_europa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e/e3/Salicornia_europa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742" t="1553" r="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C2B" w:rsidRPr="00307CEB" w:rsidRDefault="00E95C2B" w:rsidP="0054780F">
            <w:pPr>
              <w:spacing w:before="60" w:after="60"/>
              <w:jc w:val="right"/>
            </w:pPr>
            <w:r>
              <w:t xml:space="preserve">Abb.: </w:t>
            </w:r>
            <w:proofErr w:type="spellStart"/>
            <w:r>
              <w:t>Queller</w:t>
            </w:r>
            <w:proofErr w:type="spellEnd"/>
            <w:r>
              <w:rPr>
                <w:rStyle w:val="Funotenzeichen"/>
              </w:rPr>
              <w:footnoteReference w:id="1"/>
            </w:r>
          </w:p>
        </w:tc>
        <w:tc>
          <w:tcPr>
            <w:tcW w:w="5345" w:type="dxa"/>
            <w:shd w:val="clear" w:color="auto" w:fill="auto"/>
          </w:tcPr>
          <w:p w:rsidR="00E95C2B" w:rsidRDefault="00C24B68" w:rsidP="00E95C2B">
            <w:pPr>
              <w:spacing w:before="60" w:after="60"/>
              <w:jc w:val="both"/>
            </w:pPr>
            <w:r>
              <w:t xml:space="preserve">Der </w:t>
            </w:r>
            <w:proofErr w:type="spellStart"/>
            <w:r>
              <w:t>Queller</w:t>
            </w:r>
            <w:proofErr w:type="spellEnd"/>
            <w:r>
              <w:t xml:space="preserve"> ist eine Salzpflanze</w:t>
            </w:r>
            <w:r w:rsidR="00A136FC">
              <w:t>, die ohne Salzz</w:t>
            </w:r>
            <w:r w:rsidR="00A136FC">
              <w:t>u</w:t>
            </w:r>
            <w:r w:rsidR="00A136FC">
              <w:t>fuhr nicht überlebensfähig ist. Wer sie schon einmal gekostet hat</w:t>
            </w:r>
            <w:r w:rsidR="00E95C2B">
              <w:t>,</w:t>
            </w:r>
            <w:r w:rsidR="00A136FC">
              <w:t xml:space="preserve"> weiß, warum sie als „Salzstange des Nordens“ bezeichnet wird. </w:t>
            </w:r>
          </w:p>
          <w:p w:rsidR="00A136FC" w:rsidRDefault="00A136FC" w:rsidP="00E95C2B">
            <w:pPr>
              <w:spacing w:before="60" w:after="60"/>
              <w:jc w:val="both"/>
            </w:pPr>
            <w:r>
              <w:t xml:space="preserve">Die Pflanze </w:t>
            </w:r>
            <w:proofErr w:type="spellStart"/>
            <w:r>
              <w:t>reichert</w:t>
            </w:r>
            <w:proofErr w:type="spellEnd"/>
            <w:r>
              <w:t xml:space="preserve"> in ihrem </w:t>
            </w:r>
            <w:proofErr w:type="spellStart"/>
            <w:r>
              <w:t>Zellsaft</w:t>
            </w:r>
            <w:proofErr w:type="spellEnd"/>
            <w:r>
              <w:t xml:space="preserve"> Salz an</w:t>
            </w:r>
            <w:r w:rsidR="00E95C2B">
              <w:t>. D</w:t>
            </w:r>
            <w:r w:rsidR="00E95C2B">
              <w:t>a</w:t>
            </w:r>
            <w:r w:rsidR="00E95C2B">
              <w:t xml:space="preserve">durch befindet sich im </w:t>
            </w:r>
            <w:proofErr w:type="spellStart"/>
            <w:r w:rsidR="00E95C2B">
              <w:t>Zellsaft</w:t>
            </w:r>
            <w:proofErr w:type="spellEnd"/>
            <w:r w:rsidR="00E95C2B">
              <w:t xml:space="preserve"> eine höhere Salz-Ionen-Konzentration als in der </w:t>
            </w:r>
            <w:r>
              <w:t>salzhaltigen Umg</w:t>
            </w:r>
            <w:r>
              <w:t>e</w:t>
            </w:r>
            <w:r>
              <w:t xml:space="preserve">bung </w:t>
            </w:r>
            <w:r w:rsidR="00E95C2B">
              <w:t>der Pflanze. S</w:t>
            </w:r>
            <w:r>
              <w:t xml:space="preserve">omit </w:t>
            </w:r>
            <w:r w:rsidR="00AE461F">
              <w:t>ist</w:t>
            </w:r>
            <w:r>
              <w:t xml:space="preserve"> gewährleiste</w:t>
            </w:r>
            <w:r w:rsidR="00AE461F">
              <w:t>t, dass die Pflanze genügend Feuchtigkeit aufnimmt</w:t>
            </w:r>
            <w:r>
              <w:t xml:space="preserve">. </w:t>
            </w:r>
          </w:p>
          <w:p w:rsidR="00AE461F" w:rsidRDefault="00A136FC" w:rsidP="00E95C2B">
            <w:pPr>
              <w:spacing w:before="60" w:after="60"/>
              <w:jc w:val="both"/>
            </w:pPr>
            <w:r>
              <w:t xml:space="preserve">Da jedoch ständig Meersalz über die Wurzeln in die Pflanze gelangt, muss der </w:t>
            </w:r>
            <w:proofErr w:type="spellStart"/>
            <w:r>
              <w:t>Queller</w:t>
            </w:r>
            <w:proofErr w:type="spellEnd"/>
            <w:r>
              <w:t xml:space="preserve"> ständig Wasser aufnehmen, um den hohen Salzgehalt zu verdü</w:t>
            </w:r>
            <w:r>
              <w:t>n</w:t>
            </w:r>
            <w:r>
              <w:t>nen</w:t>
            </w:r>
            <w:r w:rsidR="00756E6F">
              <w:t>.</w:t>
            </w:r>
            <w:r w:rsidR="00E95C2B">
              <w:t xml:space="preserve"> </w:t>
            </w:r>
            <w:r w:rsidR="00756E6F">
              <w:t>Die Folge ist: e</w:t>
            </w:r>
            <w:r>
              <w:t>r „qu</w:t>
            </w:r>
            <w:r w:rsidR="00E95C2B">
              <w:t>i</w:t>
            </w:r>
            <w:r>
              <w:t xml:space="preserve">llt auf“. </w:t>
            </w:r>
          </w:p>
          <w:p w:rsidR="00514C4D" w:rsidRPr="00307CEB" w:rsidRDefault="00A136FC" w:rsidP="00AE461F">
            <w:pPr>
              <w:jc w:val="both"/>
            </w:pPr>
            <w:r>
              <w:t xml:space="preserve">Seine Wurzel- und </w:t>
            </w:r>
            <w:proofErr w:type="spellStart"/>
            <w:r>
              <w:t>Sprossteile</w:t>
            </w:r>
            <w:proofErr w:type="spellEnd"/>
            <w:r>
              <w:t xml:space="preserve"> sind durch ein meh</w:t>
            </w:r>
            <w:r>
              <w:t>r</w:t>
            </w:r>
            <w:r>
              <w:t>schichtiges Wasserspeichergewebe gekennzeic</w:t>
            </w:r>
            <w:r>
              <w:t>h</w:t>
            </w:r>
            <w:r>
              <w:t>net. Daher</w:t>
            </w:r>
            <w:r w:rsidR="00E95C2B">
              <w:t xml:space="preserve"> kommt</w:t>
            </w:r>
            <w:r>
              <w:t xml:space="preserve"> auch sein dickfleischiges E</w:t>
            </w:r>
            <w:r>
              <w:t>r</w:t>
            </w:r>
            <w:r>
              <w:t>scheinungsbild. Die Blätter sind zu Schuppen red</w:t>
            </w:r>
            <w:r>
              <w:t>u</w:t>
            </w:r>
            <w:r>
              <w:t>ziert.</w:t>
            </w:r>
            <w:r w:rsidR="00E95C2B">
              <w:t xml:space="preserve"> </w:t>
            </w:r>
          </w:p>
        </w:tc>
      </w:tr>
      <w:tr w:rsidR="00AE461F" w:rsidRPr="004D4457" w:rsidTr="00CA6336">
        <w:tc>
          <w:tcPr>
            <w:tcW w:w="9356" w:type="dxa"/>
            <w:gridSpan w:val="2"/>
            <w:shd w:val="clear" w:color="auto" w:fill="auto"/>
          </w:tcPr>
          <w:p w:rsidR="00AE461F" w:rsidRDefault="00AE461F" w:rsidP="00756E6F">
            <w:pPr>
              <w:spacing w:before="60" w:after="60"/>
              <w:jc w:val="both"/>
            </w:pPr>
            <w:r>
              <w:t xml:space="preserve">Die extremen Standortbedingungen sind auch die Ursache dafür, dass der </w:t>
            </w:r>
            <w:proofErr w:type="spellStart"/>
            <w:r>
              <w:t>Queller</w:t>
            </w:r>
            <w:proofErr w:type="spellEnd"/>
            <w:r>
              <w:t xml:space="preserve"> nach nur </w:t>
            </w:r>
            <w:r w:rsidR="00756E6F">
              <w:t>sechs</w:t>
            </w:r>
            <w:r>
              <w:t xml:space="preserve"> Monaten stirbt. Zuvor werden jedoch seine unauffälligen Blüten durch Wind und Mee</w:t>
            </w:r>
            <w:r>
              <w:t>r</w:t>
            </w:r>
            <w:r>
              <w:t>wasserbestäubt. Nach dem Tod der Pflanze springen die harten Samenkapseln auf und die Samen werden durch Ebbe und Flut verteilt.</w:t>
            </w:r>
          </w:p>
        </w:tc>
      </w:tr>
    </w:tbl>
    <w:p w:rsidR="00307CEB" w:rsidRDefault="00307CEB" w:rsidP="00BF22FF">
      <w:pPr>
        <w:spacing w:before="60" w:after="60"/>
        <w:rPr>
          <w:b/>
          <w:sz w:val="24"/>
          <w:szCs w:val="24"/>
        </w:rPr>
      </w:pPr>
    </w:p>
    <w:p w:rsidR="00AE461F" w:rsidRPr="00AE461F" w:rsidRDefault="00AE461F" w:rsidP="00BF22FF">
      <w:pPr>
        <w:spacing w:before="60" w:after="60"/>
        <w:rPr>
          <w:b/>
        </w:rPr>
      </w:pPr>
      <w:r w:rsidRPr="00AE461F">
        <w:rPr>
          <w:b/>
        </w:rPr>
        <w:t>Aufgabe:</w:t>
      </w:r>
    </w:p>
    <w:p w:rsidR="00AE461F" w:rsidRDefault="00E95C2B" w:rsidP="00BF22FF">
      <w:pPr>
        <w:spacing w:before="60" w:after="60"/>
      </w:pPr>
      <w:r>
        <w:t>Belege anhand des Materials</w:t>
      </w:r>
      <w:r w:rsidR="00620D68">
        <w:t xml:space="preserve"> an zwei Beispielen</w:t>
      </w:r>
      <w:r>
        <w:t xml:space="preserve">, dass </w:t>
      </w:r>
      <w:r w:rsidR="00AE461F">
        <w:t xml:space="preserve">der </w:t>
      </w:r>
      <w:proofErr w:type="spellStart"/>
      <w:r w:rsidR="00AE461F">
        <w:t>Queller</w:t>
      </w:r>
      <w:proofErr w:type="spellEnd"/>
      <w:r>
        <w:t xml:space="preserve"> </w:t>
      </w:r>
      <w:r w:rsidR="00AE461F">
        <w:t>seiner</w:t>
      </w:r>
      <w:r>
        <w:t xml:space="preserve"> Umgebung optimal angepasst ist.</w:t>
      </w:r>
    </w:p>
    <w:p w:rsidR="00F5187C" w:rsidRDefault="00E95C2B" w:rsidP="00BF22FF">
      <w:pPr>
        <w:spacing w:before="60" w:after="60"/>
        <w:rPr>
          <w:b/>
        </w:rPr>
      </w:pPr>
      <w:r>
        <w:t>Gib das jeweilige Anpassungsmerkmal an.</w:t>
      </w:r>
    </w:p>
    <w:p w:rsidR="001E35FE" w:rsidRDefault="001E35FE" w:rsidP="00BF22FF">
      <w:pPr>
        <w:spacing w:before="60" w:after="60"/>
      </w:pPr>
    </w:p>
    <w:p w:rsidR="001E35FE" w:rsidRDefault="001E35FE" w:rsidP="00BF22FF">
      <w:pPr>
        <w:spacing w:before="60" w:after="60"/>
        <w:rPr>
          <w:b/>
        </w:rPr>
      </w:pPr>
    </w:p>
    <w:p w:rsidR="0054780F" w:rsidRDefault="0054780F" w:rsidP="00BF22FF">
      <w:pPr>
        <w:spacing w:before="60" w:after="60"/>
        <w:rPr>
          <w:b/>
        </w:rPr>
      </w:pPr>
    </w:p>
    <w:p w:rsidR="0054780F" w:rsidRDefault="0054780F" w:rsidP="00BF22FF">
      <w:pPr>
        <w:spacing w:before="60" w:after="60"/>
        <w:rPr>
          <w:b/>
        </w:rPr>
      </w:pPr>
    </w:p>
    <w:p w:rsidR="0054780F" w:rsidRDefault="0054780F" w:rsidP="00BF22FF">
      <w:pPr>
        <w:spacing w:before="60" w:after="60"/>
        <w:rPr>
          <w:b/>
        </w:rPr>
      </w:pPr>
    </w:p>
    <w:p w:rsidR="0054780F" w:rsidRDefault="0054780F" w:rsidP="00BF22FF">
      <w:pPr>
        <w:spacing w:before="60" w:after="60"/>
        <w:rPr>
          <w:b/>
        </w:rPr>
      </w:pPr>
    </w:p>
    <w:p w:rsidR="0054780F" w:rsidRDefault="0054780F" w:rsidP="00BF22FF">
      <w:pPr>
        <w:spacing w:before="60" w:after="60"/>
        <w:rPr>
          <w:b/>
        </w:rPr>
      </w:pPr>
    </w:p>
    <w:p w:rsidR="0054780F" w:rsidRDefault="0054780F" w:rsidP="00BF22FF">
      <w:pPr>
        <w:spacing w:before="60" w:after="60"/>
        <w:rPr>
          <w:b/>
        </w:rPr>
      </w:pPr>
    </w:p>
    <w:p w:rsidR="0054780F" w:rsidRPr="008119C5" w:rsidRDefault="0054780F" w:rsidP="00BF22FF">
      <w:pPr>
        <w:spacing w:before="60" w:after="60"/>
        <w:rPr>
          <w:b/>
        </w:rPr>
      </w:pPr>
    </w:p>
    <w:p w:rsidR="00937B60" w:rsidRDefault="0054780F" w:rsidP="0054780F">
      <w:pPr>
        <w:rPr>
          <w:b/>
        </w:rPr>
      </w:pPr>
      <w:r w:rsidRPr="0054780F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49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61F">
        <w:rPr>
          <w:noProof/>
          <w:lang w:eastAsia="de-DE"/>
        </w:rPr>
        <w:t xml:space="preserve"> </w:t>
      </w:r>
      <w:r>
        <w:rPr>
          <w:noProof/>
          <w:lang w:eastAsia="de-DE"/>
        </w:rPr>
        <w:t>L</w:t>
      </w:r>
      <w:r w:rsidR="00AE461F">
        <w:rPr>
          <w:noProof/>
          <w:lang w:eastAsia="de-DE"/>
        </w:rPr>
        <w:t>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AE461F" w:rsidRDefault="00AE461F" w:rsidP="00BF22FF">
      <w:pPr>
        <w:spacing w:before="60" w:after="60"/>
        <w:rPr>
          <w:b/>
        </w:rPr>
      </w:pPr>
    </w:p>
    <w:p w:rsidR="00AE461F" w:rsidRDefault="00AE461F" w:rsidP="00AE461F">
      <w:pPr>
        <w:spacing w:before="60" w:after="60"/>
      </w:pPr>
      <w:r>
        <w:t xml:space="preserve">Belege anhand des Materials, dass der </w:t>
      </w:r>
      <w:proofErr w:type="spellStart"/>
      <w:r>
        <w:t>Queller</w:t>
      </w:r>
      <w:proofErr w:type="spellEnd"/>
      <w:r>
        <w:t xml:space="preserve"> seiner Umgebung optimal angepasst ist.</w:t>
      </w:r>
    </w:p>
    <w:p w:rsidR="00AE461F" w:rsidRDefault="00AE461F" w:rsidP="00AE461F">
      <w:pPr>
        <w:spacing w:before="60" w:after="60"/>
        <w:rPr>
          <w:b/>
        </w:rPr>
      </w:pPr>
      <w:r>
        <w:t>Gib das jeweilige Anpassungsmerkmal an.</w:t>
      </w:r>
    </w:p>
    <w:p w:rsidR="00F85B99" w:rsidRDefault="00F85B99" w:rsidP="00BF22FF">
      <w:pPr>
        <w:spacing w:before="60" w:after="60"/>
        <w:rPr>
          <w:b/>
        </w:rPr>
      </w:pPr>
    </w:p>
    <w:p w:rsidR="00AE461F" w:rsidRDefault="00F85B99" w:rsidP="00BF22FF">
      <w:pPr>
        <w:spacing w:before="60" w:after="60"/>
        <w:rPr>
          <w:b/>
        </w:rPr>
      </w:pPr>
      <w:r>
        <w:rPr>
          <w:b/>
        </w:rPr>
        <w:t>Zum Beispiel: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605"/>
        <w:gridCol w:w="4605"/>
      </w:tblGrid>
      <w:tr w:rsidR="003F0A23" w:rsidRPr="00AE461F" w:rsidTr="00AE461F">
        <w:tc>
          <w:tcPr>
            <w:tcW w:w="4605" w:type="dxa"/>
            <w:shd w:val="clear" w:color="auto" w:fill="BFBFBF" w:themeFill="background1" w:themeFillShade="BF"/>
          </w:tcPr>
          <w:p w:rsidR="003F0A23" w:rsidRPr="00AE461F" w:rsidRDefault="003F0A23" w:rsidP="00D46ED8">
            <w:pPr>
              <w:spacing w:before="60" w:after="60"/>
              <w:jc w:val="center"/>
              <w:rPr>
                <w:b/>
              </w:rPr>
            </w:pPr>
            <w:r w:rsidRPr="00AE461F">
              <w:rPr>
                <w:b/>
              </w:rPr>
              <w:t>Merkmal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3F0A23" w:rsidRPr="00AE461F" w:rsidRDefault="003F0A23" w:rsidP="00D46ED8">
            <w:pPr>
              <w:spacing w:before="60" w:after="60"/>
              <w:jc w:val="center"/>
              <w:rPr>
                <w:b/>
              </w:rPr>
            </w:pPr>
            <w:r w:rsidRPr="00AE461F">
              <w:rPr>
                <w:b/>
              </w:rPr>
              <w:t>Anpassung</w:t>
            </w:r>
          </w:p>
        </w:tc>
      </w:tr>
      <w:tr w:rsidR="003F0A23" w:rsidRPr="00AE461F" w:rsidTr="00AE461F">
        <w:tc>
          <w:tcPr>
            <w:tcW w:w="4605" w:type="dxa"/>
            <w:shd w:val="clear" w:color="auto" w:fill="auto"/>
          </w:tcPr>
          <w:p w:rsidR="003F0A23" w:rsidRPr="00AE461F" w:rsidRDefault="003F0A23" w:rsidP="00D46ED8">
            <w:pPr>
              <w:spacing w:before="60" w:after="60"/>
            </w:pPr>
            <w:r w:rsidRPr="00AE461F">
              <w:t>fleischige, aufgequollene Spross- und Wu</w:t>
            </w:r>
            <w:r w:rsidRPr="00AE461F">
              <w:t>r</w:t>
            </w:r>
            <w:r w:rsidRPr="00AE461F">
              <w:t>zelteile mit mehrschichtigem Speichergew</w:t>
            </w:r>
            <w:r w:rsidRPr="00AE461F">
              <w:t>e</w:t>
            </w:r>
            <w:r w:rsidRPr="00AE461F">
              <w:t>be</w:t>
            </w:r>
          </w:p>
        </w:tc>
        <w:tc>
          <w:tcPr>
            <w:tcW w:w="4605" w:type="dxa"/>
            <w:shd w:val="clear" w:color="auto" w:fill="auto"/>
          </w:tcPr>
          <w:p w:rsidR="003F0A23" w:rsidRPr="00AE461F" w:rsidRDefault="003F0A23" w:rsidP="00D46ED8">
            <w:pPr>
              <w:spacing w:before="60" w:after="60"/>
            </w:pPr>
            <w:r w:rsidRPr="00AE461F">
              <w:t>Wasserspeicherorgane zur Verdünnung des aufgenommenen Salzes</w:t>
            </w:r>
          </w:p>
        </w:tc>
      </w:tr>
      <w:tr w:rsidR="00D23C12" w:rsidRPr="00AE461F" w:rsidTr="00AE461F">
        <w:tc>
          <w:tcPr>
            <w:tcW w:w="4605" w:type="dxa"/>
            <w:shd w:val="clear" w:color="auto" w:fill="auto"/>
          </w:tcPr>
          <w:p w:rsidR="00D23C12" w:rsidRPr="00AE461F" w:rsidRDefault="00AE461F" w:rsidP="00D46ED8">
            <w:pPr>
              <w:spacing w:before="60" w:after="60"/>
            </w:pPr>
            <w:r>
              <w:t>s</w:t>
            </w:r>
            <w:r w:rsidR="00D23C12" w:rsidRPr="00AE461F">
              <w:t>tete Wasseraufnahme</w:t>
            </w:r>
          </w:p>
        </w:tc>
        <w:tc>
          <w:tcPr>
            <w:tcW w:w="4605" w:type="dxa"/>
            <w:shd w:val="clear" w:color="auto" w:fill="auto"/>
          </w:tcPr>
          <w:p w:rsidR="00D23C12" w:rsidRPr="00AE461F" w:rsidRDefault="00D23C12" w:rsidP="00D46ED8">
            <w:pPr>
              <w:spacing w:before="60" w:after="60"/>
            </w:pPr>
            <w:r w:rsidRPr="00AE461F">
              <w:t>Verdünnung des Salzgehaltes</w:t>
            </w:r>
            <w:r w:rsidR="00AE461F">
              <w:t xml:space="preserve"> in der Pflanze</w:t>
            </w:r>
          </w:p>
        </w:tc>
      </w:tr>
      <w:tr w:rsidR="003F0A23" w:rsidRPr="00AE461F" w:rsidTr="00AE461F">
        <w:tc>
          <w:tcPr>
            <w:tcW w:w="4605" w:type="dxa"/>
            <w:shd w:val="clear" w:color="auto" w:fill="auto"/>
          </w:tcPr>
          <w:p w:rsidR="003F0A23" w:rsidRPr="00AE461F" w:rsidRDefault="003F0A23" w:rsidP="00D23C12">
            <w:pPr>
              <w:spacing w:before="60" w:after="60"/>
            </w:pPr>
            <w:r w:rsidRPr="00AE461F">
              <w:t>Blätter</w:t>
            </w:r>
            <w:r w:rsidR="00AE461F">
              <w:t xml:space="preserve"> sind</w:t>
            </w:r>
            <w:r w:rsidR="00D23C12" w:rsidRPr="00AE461F">
              <w:t xml:space="preserve"> zu Schuppen reduziert</w:t>
            </w:r>
          </w:p>
        </w:tc>
        <w:tc>
          <w:tcPr>
            <w:tcW w:w="4605" w:type="dxa"/>
            <w:shd w:val="clear" w:color="auto" w:fill="auto"/>
          </w:tcPr>
          <w:p w:rsidR="003F0A23" w:rsidRPr="00AE461F" w:rsidRDefault="00D23C12" w:rsidP="00756E6F">
            <w:pPr>
              <w:spacing w:before="60" w:after="60"/>
            </w:pPr>
            <w:r w:rsidRPr="00AE461F">
              <w:t xml:space="preserve">reduzierte Oberfläche </w:t>
            </w:r>
            <w:r w:rsidR="003F0A23" w:rsidRPr="00AE461F">
              <w:t>schränk</w:t>
            </w:r>
            <w:r w:rsidRPr="00AE461F">
              <w:t>t</w:t>
            </w:r>
            <w:r w:rsidR="003F0A23" w:rsidRPr="00AE461F">
              <w:t xml:space="preserve"> Transpiration</w:t>
            </w:r>
            <w:r w:rsidRPr="00AE461F">
              <w:t xml:space="preserve"> ein</w:t>
            </w:r>
            <w:r w:rsidR="003F0A23" w:rsidRPr="00AE461F">
              <w:t>;</w:t>
            </w:r>
            <w:r w:rsidR="00AE461F">
              <w:t xml:space="preserve"> Verdunstungsschutz</w:t>
            </w:r>
          </w:p>
        </w:tc>
      </w:tr>
      <w:tr w:rsidR="00F87CE4" w:rsidRPr="00AE461F" w:rsidTr="00AE461F">
        <w:tc>
          <w:tcPr>
            <w:tcW w:w="4605" w:type="dxa"/>
            <w:shd w:val="clear" w:color="auto" w:fill="auto"/>
          </w:tcPr>
          <w:p w:rsidR="00F87CE4" w:rsidRPr="00AE461F" w:rsidRDefault="00A136FC" w:rsidP="00AE461F">
            <w:pPr>
              <w:spacing w:before="60" w:after="60"/>
            </w:pPr>
            <w:r w:rsidRPr="00AE461F">
              <w:t>Anreicherung von Salz</w:t>
            </w:r>
            <w:r w:rsidR="00AE461F">
              <w:t xml:space="preserve"> in der Pflanze</w:t>
            </w:r>
          </w:p>
        </w:tc>
        <w:tc>
          <w:tcPr>
            <w:tcW w:w="4605" w:type="dxa"/>
            <w:shd w:val="clear" w:color="auto" w:fill="auto"/>
          </w:tcPr>
          <w:p w:rsidR="00F87CE4" w:rsidRPr="00AE461F" w:rsidRDefault="00A136FC" w:rsidP="00756E6F">
            <w:pPr>
              <w:spacing w:before="60" w:after="60"/>
            </w:pPr>
            <w:r w:rsidRPr="00AE461F">
              <w:t>Erhöhung des osmotischen Drucks; Sau</w:t>
            </w:r>
            <w:r w:rsidRPr="00AE461F">
              <w:t>g</w:t>
            </w:r>
            <w:r w:rsidRPr="00AE461F">
              <w:t>kraft des Wassers steigt; Pflanze nimmt Wasser aus Umgebung auf;</w:t>
            </w:r>
            <w:r w:rsidR="00F87CE4" w:rsidRPr="00AE461F">
              <w:t xml:space="preserve"> </w:t>
            </w:r>
          </w:p>
        </w:tc>
      </w:tr>
      <w:tr w:rsidR="00F87CE4" w:rsidRPr="00AE461F" w:rsidTr="00AE461F">
        <w:tc>
          <w:tcPr>
            <w:tcW w:w="4605" w:type="dxa"/>
            <w:shd w:val="clear" w:color="auto" w:fill="auto"/>
          </w:tcPr>
          <w:p w:rsidR="00F87CE4" w:rsidRPr="00AE461F" w:rsidRDefault="00AE461F" w:rsidP="00AE461F">
            <w:pPr>
              <w:spacing w:before="60" w:after="60"/>
            </w:pPr>
            <w:r>
              <w:t>u</w:t>
            </w:r>
            <w:r w:rsidR="00D23C12" w:rsidRPr="00AE461F">
              <w:t>nauffällige Blüten</w:t>
            </w:r>
            <w: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F87CE4" w:rsidRPr="00AE461F" w:rsidRDefault="00D23C12" w:rsidP="00F87CE4">
            <w:pPr>
              <w:spacing w:before="60" w:after="60"/>
            </w:pPr>
            <w:r w:rsidRPr="00AE461F">
              <w:t>Wind- und Wasserbestäubung</w:t>
            </w:r>
          </w:p>
        </w:tc>
      </w:tr>
      <w:tr w:rsidR="00D23C12" w:rsidRPr="00AE461F" w:rsidTr="00AE461F">
        <w:tc>
          <w:tcPr>
            <w:tcW w:w="4605" w:type="dxa"/>
            <w:shd w:val="clear" w:color="auto" w:fill="auto"/>
          </w:tcPr>
          <w:p w:rsidR="00D23C12" w:rsidRPr="00AE461F" w:rsidRDefault="00AE461F" w:rsidP="00D46ED8">
            <w:pPr>
              <w:spacing w:before="60" w:after="60"/>
            </w:pPr>
            <w:r>
              <w:t>h</w:t>
            </w:r>
            <w:r w:rsidR="00D23C12" w:rsidRPr="00AE461F">
              <w:t>arte Samenkapseln</w:t>
            </w:r>
          </w:p>
        </w:tc>
        <w:tc>
          <w:tcPr>
            <w:tcW w:w="4605" w:type="dxa"/>
            <w:shd w:val="clear" w:color="auto" w:fill="auto"/>
          </w:tcPr>
          <w:p w:rsidR="00D23C12" w:rsidRPr="00AE461F" w:rsidRDefault="00D23C12" w:rsidP="00F87CE4">
            <w:pPr>
              <w:spacing w:before="60" w:after="60"/>
            </w:pPr>
            <w:r w:rsidRPr="00AE461F">
              <w:t>Schutz</w:t>
            </w:r>
            <w:r w:rsidR="00AE461F">
              <w:t xml:space="preserve"> des Samens</w:t>
            </w:r>
          </w:p>
        </w:tc>
      </w:tr>
      <w:tr w:rsidR="00D23C12" w:rsidRPr="00AE461F" w:rsidTr="00AE461F">
        <w:tc>
          <w:tcPr>
            <w:tcW w:w="4605" w:type="dxa"/>
            <w:shd w:val="clear" w:color="auto" w:fill="auto"/>
          </w:tcPr>
          <w:p w:rsidR="00D23C12" w:rsidRPr="00AE461F" w:rsidRDefault="00D23C12" w:rsidP="00D46ED8">
            <w:pPr>
              <w:spacing w:before="60" w:after="60"/>
            </w:pPr>
            <w:r w:rsidRPr="00AE461F">
              <w:t>Samenverbreitung</w:t>
            </w:r>
          </w:p>
        </w:tc>
        <w:tc>
          <w:tcPr>
            <w:tcW w:w="4605" w:type="dxa"/>
            <w:shd w:val="clear" w:color="auto" w:fill="auto"/>
          </w:tcPr>
          <w:p w:rsidR="00D23C12" w:rsidRPr="00AE461F" w:rsidRDefault="00AE461F" w:rsidP="00F87CE4">
            <w:pPr>
              <w:spacing w:before="60" w:after="60"/>
            </w:pPr>
            <w:r>
              <w:t>d</w:t>
            </w:r>
            <w:r w:rsidR="00D23C12" w:rsidRPr="00AE461F">
              <w:t xml:space="preserve">urch Meer weite Verbreitung des </w:t>
            </w:r>
            <w:proofErr w:type="spellStart"/>
            <w:r w:rsidR="00D23C12" w:rsidRPr="00AE461F">
              <w:t>Quellers</w:t>
            </w:r>
            <w:proofErr w:type="spellEnd"/>
            <w:r w:rsidR="00D23C12" w:rsidRPr="00AE461F">
              <w:t>; Sicherung seiner Verbreitung</w:t>
            </w:r>
            <w:r>
              <w:t>; Erhaltung der Art</w:t>
            </w:r>
          </w:p>
        </w:tc>
      </w:tr>
    </w:tbl>
    <w:p w:rsidR="003F0A23" w:rsidRDefault="003F0A23" w:rsidP="00BF22F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54780F" w:rsidRDefault="0054780F" w:rsidP="0054780F">
      <w:pPr>
        <w:spacing w:before="60" w:after="60"/>
        <w:rPr>
          <w:b/>
        </w:rPr>
      </w:pPr>
    </w:p>
    <w:p w:rsidR="00B94BD8" w:rsidRDefault="0054780F" w:rsidP="0054780F">
      <w:pPr>
        <w:spacing w:before="60" w:after="60"/>
      </w:pPr>
      <w:r w:rsidRPr="0054780F">
        <w:rPr>
          <w:b/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4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54780F">
        <w:t>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77" w:rsidRDefault="00D81777" w:rsidP="00837EC7">
      <w:pPr>
        <w:spacing w:line="240" w:lineRule="auto"/>
      </w:pPr>
      <w:r>
        <w:separator/>
      </w:r>
    </w:p>
  </w:endnote>
  <w:endnote w:type="continuationSeparator" w:id="0">
    <w:p w:rsidR="00D81777" w:rsidRDefault="00D8177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CE1019">
      <w:fldChar w:fldCharType="begin"/>
    </w:r>
    <w:r w:rsidR="00685A13">
      <w:instrText xml:space="preserve"> PAGE   \* MERGEFORMAT </w:instrText>
    </w:r>
    <w:r w:rsidR="00CE1019">
      <w:fldChar w:fldCharType="separate"/>
    </w:r>
    <w:r w:rsidR="004E6A73">
      <w:rPr>
        <w:noProof/>
      </w:rPr>
      <w:t>1</w:t>
    </w:r>
    <w:r w:rsidR="00CE1019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CE1019">
      <w:fldChar w:fldCharType="begin"/>
    </w:r>
    <w:r w:rsidR="00685A13">
      <w:instrText xml:space="preserve"> PAGE   \* MERGEFORMAT </w:instrText>
    </w:r>
    <w:r w:rsidR="00CE1019">
      <w:fldChar w:fldCharType="separate"/>
    </w:r>
    <w:r w:rsidR="004E6A73">
      <w:rPr>
        <w:noProof/>
      </w:rPr>
      <w:t>3</w:t>
    </w:r>
    <w:r w:rsidR="00CE101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77" w:rsidRDefault="00D81777" w:rsidP="00837EC7">
      <w:pPr>
        <w:spacing w:line="240" w:lineRule="auto"/>
      </w:pPr>
      <w:r>
        <w:separator/>
      </w:r>
    </w:p>
  </w:footnote>
  <w:footnote w:type="continuationSeparator" w:id="0">
    <w:p w:rsidR="00D81777" w:rsidRDefault="00D81777" w:rsidP="00837EC7">
      <w:pPr>
        <w:spacing w:line="240" w:lineRule="auto"/>
      </w:pPr>
      <w:r>
        <w:continuationSeparator/>
      </w:r>
    </w:p>
  </w:footnote>
  <w:footnote w:id="1">
    <w:p w:rsidR="00E95C2B" w:rsidRPr="00C24B68" w:rsidRDefault="00E95C2B" w:rsidP="00E95C2B">
      <w:pPr>
        <w:pStyle w:val="Funotentext"/>
        <w:rPr>
          <w:rFonts w:ascii="Arial" w:hAnsi="Arial" w:cs="Arial"/>
          <w:sz w:val="16"/>
          <w:szCs w:val="16"/>
        </w:rPr>
      </w:pPr>
      <w:r w:rsidRPr="00C24B68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Abbildung (CC BY SA):</w:t>
      </w:r>
      <w:r w:rsidRPr="00C24B6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FF348C">
          <w:rPr>
            <w:rStyle w:val="Hyperlink"/>
            <w:rFonts w:ascii="Arial" w:hAnsi="Arial" w:cs="Arial"/>
            <w:sz w:val="16"/>
            <w:szCs w:val="16"/>
          </w:rPr>
          <w:t>http://upload.wikimedia.org/wikipedia/commons/e/e3/Salicornia_europaea.jpg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17F8B"/>
    <w:rsid w:val="0002321F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E20E8"/>
    <w:rsid w:val="001E35FE"/>
    <w:rsid w:val="001F319E"/>
    <w:rsid w:val="00202F49"/>
    <w:rsid w:val="00206E1F"/>
    <w:rsid w:val="002348B8"/>
    <w:rsid w:val="002A04B8"/>
    <w:rsid w:val="002A2294"/>
    <w:rsid w:val="002A767B"/>
    <w:rsid w:val="002B14FC"/>
    <w:rsid w:val="002D3F70"/>
    <w:rsid w:val="002D55C9"/>
    <w:rsid w:val="002E1682"/>
    <w:rsid w:val="002F3C8C"/>
    <w:rsid w:val="00300E1A"/>
    <w:rsid w:val="00307CEB"/>
    <w:rsid w:val="00321743"/>
    <w:rsid w:val="00334567"/>
    <w:rsid w:val="00363539"/>
    <w:rsid w:val="00381AB2"/>
    <w:rsid w:val="003F0A23"/>
    <w:rsid w:val="003F4234"/>
    <w:rsid w:val="0040115E"/>
    <w:rsid w:val="004072A0"/>
    <w:rsid w:val="00411347"/>
    <w:rsid w:val="00427429"/>
    <w:rsid w:val="00445672"/>
    <w:rsid w:val="00467ABE"/>
    <w:rsid w:val="004851BE"/>
    <w:rsid w:val="0049671A"/>
    <w:rsid w:val="00496D76"/>
    <w:rsid w:val="004C1F00"/>
    <w:rsid w:val="004C485B"/>
    <w:rsid w:val="004C5D31"/>
    <w:rsid w:val="004D4457"/>
    <w:rsid w:val="004E6A73"/>
    <w:rsid w:val="004F3656"/>
    <w:rsid w:val="005052CB"/>
    <w:rsid w:val="00510110"/>
    <w:rsid w:val="00514C4D"/>
    <w:rsid w:val="00526585"/>
    <w:rsid w:val="00537A2A"/>
    <w:rsid w:val="00543675"/>
    <w:rsid w:val="0054780F"/>
    <w:rsid w:val="005960DF"/>
    <w:rsid w:val="005C16CC"/>
    <w:rsid w:val="005D03D5"/>
    <w:rsid w:val="005F1ACA"/>
    <w:rsid w:val="00620D68"/>
    <w:rsid w:val="00677337"/>
    <w:rsid w:val="00685A13"/>
    <w:rsid w:val="006A22F8"/>
    <w:rsid w:val="006A599E"/>
    <w:rsid w:val="006C713F"/>
    <w:rsid w:val="006D084A"/>
    <w:rsid w:val="006D5EEA"/>
    <w:rsid w:val="006D719E"/>
    <w:rsid w:val="0070063F"/>
    <w:rsid w:val="007024FB"/>
    <w:rsid w:val="00714CA7"/>
    <w:rsid w:val="007357B6"/>
    <w:rsid w:val="00756E6F"/>
    <w:rsid w:val="007621DD"/>
    <w:rsid w:val="00771C9C"/>
    <w:rsid w:val="00781502"/>
    <w:rsid w:val="007C1D1C"/>
    <w:rsid w:val="007C32D6"/>
    <w:rsid w:val="007C3E2C"/>
    <w:rsid w:val="007D6BA1"/>
    <w:rsid w:val="007D7945"/>
    <w:rsid w:val="00800BD6"/>
    <w:rsid w:val="008109AD"/>
    <w:rsid w:val="008119C5"/>
    <w:rsid w:val="00820851"/>
    <w:rsid w:val="00825908"/>
    <w:rsid w:val="00826C8F"/>
    <w:rsid w:val="00837EC7"/>
    <w:rsid w:val="008431B0"/>
    <w:rsid w:val="00852332"/>
    <w:rsid w:val="008A1768"/>
    <w:rsid w:val="008B1D49"/>
    <w:rsid w:val="008B6E6E"/>
    <w:rsid w:val="008E2ED1"/>
    <w:rsid w:val="008E7D45"/>
    <w:rsid w:val="008F78E6"/>
    <w:rsid w:val="00900E0B"/>
    <w:rsid w:val="0093060A"/>
    <w:rsid w:val="00937B60"/>
    <w:rsid w:val="0095558E"/>
    <w:rsid w:val="009713DA"/>
    <w:rsid w:val="00971722"/>
    <w:rsid w:val="009A1D85"/>
    <w:rsid w:val="009F42E4"/>
    <w:rsid w:val="00A136FC"/>
    <w:rsid w:val="00A20523"/>
    <w:rsid w:val="00A366CC"/>
    <w:rsid w:val="00A57E9B"/>
    <w:rsid w:val="00A74590"/>
    <w:rsid w:val="00A804F8"/>
    <w:rsid w:val="00A828A1"/>
    <w:rsid w:val="00A958BF"/>
    <w:rsid w:val="00A973E5"/>
    <w:rsid w:val="00AA3D78"/>
    <w:rsid w:val="00AB509B"/>
    <w:rsid w:val="00AD39E6"/>
    <w:rsid w:val="00AE2D84"/>
    <w:rsid w:val="00AE3A55"/>
    <w:rsid w:val="00AE461F"/>
    <w:rsid w:val="00B11DE8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04919"/>
    <w:rsid w:val="00C16860"/>
    <w:rsid w:val="00C24B68"/>
    <w:rsid w:val="00C2632F"/>
    <w:rsid w:val="00C37B35"/>
    <w:rsid w:val="00C47F23"/>
    <w:rsid w:val="00C6552D"/>
    <w:rsid w:val="00C9277B"/>
    <w:rsid w:val="00C9423B"/>
    <w:rsid w:val="00CA26AC"/>
    <w:rsid w:val="00CB3549"/>
    <w:rsid w:val="00CE1019"/>
    <w:rsid w:val="00D0707C"/>
    <w:rsid w:val="00D226DE"/>
    <w:rsid w:val="00D23C12"/>
    <w:rsid w:val="00D270BC"/>
    <w:rsid w:val="00D41BE0"/>
    <w:rsid w:val="00D46ED8"/>
    <w:rsid w:val="00D81777"/>
    <w:rsid w:val="00DC762A"/>
    <w:rsid w:val="00DD0C30"/>
    <w:rsid w:val="00DF308F"/>
    <w:rsid w:val="00E16A0E"/>
    <w:rsid w:val="00E16B27"/>
    <w:rsid w:val="00E363A5"/>
    <w:rsid w:val="00E579BF"/>
    <w:rsid w:val="00E65F91"/>
    <w:rsid w:val="00E72519"/>
    <w:rsid w:val="00E80F15"/>
    <w:rsid w:val="00E84ADD"/>
    <w:rsid w:val="00E85DB9"/>
    <w:rsid w:val="00E86529"/>
    <w:rsid w:val="00E95C2B"/>
    <w:rsid w:val="00EA0240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76751"/>
    <w:rsid w:val="00F85B99"/>
    <w:rsid w:val="00F86862"/>
    <w:rsid w:val="00F87CE4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1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14C4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C942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23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9423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23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9423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1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14C4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C942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23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9423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23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9423B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pload.wikimedia.org/wikipedia/commons/e/e3/Salicornia_europaea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FDD7-600F-49A1-8B6D-A4EB0117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2015-12-08T08:45:00Z</dcterms:created>
  <dcterms:modified xsi:type="dcterms:W3CDTF">2015-12-08T08:45:00Z</dcterms:modified>
</cp:coreProperties>
</file>