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68" w:type="dxa"/>
        <w:tblLook w:val="04A0"/>
      </w:tblPr>
      <w:tblGrid>
        <w:gridCol w:w="9868"/>
      </w:tblGrid>
      <w:tr w:rsidR="00095D78" w:rsidTr="00095D78">
        <w:trPr>
          <w:trHeight w:val="695"/>
        </w:trPr>
        <w:tc>
          <w:tcPr>
            <w:tcW w:w="9868" w:type="dxa"/>
            <w:hideMark/>
          </w:tcPr>
          <w:p w:rsidR="00095D78" w:rsidRDefault="00095D78" w:rsidP="00095D78">
            <w:r>
              <w:t xml:space="preserve">     </w:t>
            </w:r>
            <w:r>
              <w:rPr>
                <w:noProof/>
              </w:rPr>
              <w:drawing>
                <wp:inline distT="0" distB="0" distL="0" distR="0">
                  <wp:extent cx="438150" cy="457200"/>
                  <wp:effectExtent l="19050" t="0" r="0" b="0"/>
                  <wp:docPr id="1" name="Grafik73" descr="Hocke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73" descr="Hockey"/>
                          <pic:cNvPicPr>
                            <a:picLocks noRot="1" noChangeArrowheads="1"/>
                          </pic:cNvPicPr>
                        </pic:nvPicPr>
                        <pic:blipFill>
                          <a:blip r:embed="rId5" cstate="print"/>
                          <a:srcRect/>
                          <a:stretch>
                            <a:fillRect/>
                          </a:stretch>
                        </pic:blipFill>
                        <pic:spPr bwMode="auto">
                          <a:xfrm>
                            <a:off x="0" y="0"/>
                            <a:ext cx="438150" cy="457200"/>
                          </a:xfrm>
                          <a:prstGeom prst="rect">
                            <a:avLst/>
                          </a:prstGeom>
                          <a:noFill/>
                          <a:ln w="9525">
                            <a:noFill/>
                            <a:miter lim="800000"/>
                            <a:headEnd/>
                            <a:tailEnd/>
                          </a:ln>
                        </pic:spPr>
                      </pic:pic>
                    </a:graphicData>
                  </a:graphic>
                </wp:inline>
              </w:drawing>
            </w:r>
            <w:r>
              <w:t xml:space="preserve">  </w:t>
            </w:r>
            <w:r>
              <w:rPr>
                <w:noProof/>
              </w:rPr>
              <w:drawing>
                <wp:inline distT="0" distB="0" distL="0" distR="0">
                  <wp:extent cx="438150" cy="457200"/>
                  <wp:effectExtent l="19050" t="0" r="0" b="0"/>
                  <wp:docPr id="2" name="Grafik72" descr="Hocke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72" descr="Hockey"/>
                          <pic:cNvPicPr>
                            <a:picLocks noRot="1" noChangeArrowheads="1"/>
                          </pic:cNvPicPr>
                        </pic:nvPicPr>
                        <pic:blipFill>
                          <a:blip r:embed="rId5" cstate="print"/>
                          <a:srcRect/>
                          <a:stretch>
                            <a:fillRect/>
                          </a:stretch>
                        </pic:blipFill>
                        <pic:spPr bwMode="auto">
                          <a:xfrm>
                            <a:off x="0" y="0"/>
                            <a:ext cx="438150" cy="457200"/>
                          </a:xfrm>
                          <a:prstGeom prst="rect">
                            <a:avLst/>
                          </a:prstGeom>
                          <a:noFill/>
                          <a:ln w="9525">
                            <a:noFill/>
                            <a:miter lim="800000"/>
                            <a:headEnd/>
                            <a:tailEnd/>
                          </a:ln>
                        </pic:spPr>
                      </pic:pic>
                    </a:graphicData>
                  </a:graphic>
                </wp:inline>
              </w:drawing>
            </w:r>
            <w:r>
              <w:t xml:space="preserve">  </w:t>
            </w:r>
            <w:r>
              <w:rPr>
                <w:noProof/>
              </w:rPr>
              <w:drawing>
                <wp:inline distT="0" distB="0" distL="0" distR="0">
                  <wp:extent cx="438150" cy="457200"/>
                  <wp:effectExtent l="19050" t="0" r="0" b="0"/>
                  <wp:docPr id="3" name="Grafik71" descr="Hocke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71" descr="Hockey"/>
                          <pic:cNvPicPr>
                            <a:picLocks noRot="1" noChangeArrowheads="1"/>
                          </pic:cNvPicPr>
                        </pic:nvPicPr>
                        <pic:blipFill>
                          <a:blip r:embed="rId5" cstate="print"/>
                          <a:srcRect/>
                          <a:stretch>
                            <a:fillRect/>
                          </a:stretch>
                        </pic:blipFill>
                        <pic:spPr bwMode="auto">
                          <a:xfrm>
                            <a:off x="0" y="0"/>
                            <a:ext cx="438150" cy="457200"/>
                          </a:xfrm>
                          <a:prstGeom prst="rect">
                            <a:avLst/>
                          </a:prstGeom>
                          <a:noFill/>
                          <a:ln w="9525">
                            <a:noFill/>
                            <a:miter lim="800000"/>
                            <a:headEnd/>
                            <a:tailEnd/>
                          </a:ln>
                        </pic:spPr>
                      </pic:pic>
                    </a:graphicData>
                  </a:graphic>
                </wp:inline>
              </w:drawing>
            </w:r>
            <w:r>
              <w:t xml:space="preserve">  </w:t>
            </w:r>
            <w:r>
              <w:rPr>
                <w:noProof/>
              </w:rPr>
              <w:drawing>
                <wp:inline distT="0" distB="0" distL="0" distR="0">
                  <wp:extent cx="438150" cy="457200"/>
                  <wp:effectExtent l="19050" t="0" r="0" b="0"/>
                  <wp:docPr id="4" name="Grafik70" descr="Hocke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70" descr="Hockey"/>
                          <pic:cNvPicPr>
                            <a:picLocks noRot="1" noChangeArrowheads="1"/>
                          </pic:cNvPicPr>
                        </pic:nvPicPr>
                        <pic:blipFill>
                          <a:blip r:embed="rId5" cstate="print"/>
                          <a:srcRect/>
                          <a:stretch>
                            <a:fillRect/>
                          </a:stretch>
                        </pic:blipFill>
                        <pic:spPr bwMode="auto">
                          <a:xfrm>
                            <a:off x="0" y="0"/>
                            <a:ext cx="438150" cy="457200"/>
                          </a:xfrm>
                          <a:prstGeom prst="rect">
                            <a:avLst/>
                          </a:prstGeom>
                          <a:noFill/>
                          <a:ln w="9525">
                            <a:noFill/>
                            <a:miter lim="800000"/>
                            <a:headEnd/>
                            <a:tailEnd/>
                          </a:ln>
                        </pic:spPr>
                      </pic:pic>
                    </a:graphicData>
                  </a:graphic>
                </wp:inline>
              </w:drawing>
            </w:r>
            <w:r>
              <w:t xml:space="preserve">  </w:t>
            </w:r>
            <w:r>
              <w:rPr>
                <w:noProof/>
              </w:rPr>
              <w:drawing>
                <wp:inline distT="0" distB="0" distL="0" distR="0">
                  <wp:extent cx="438150" cy="457200"/>
                  <wp:effectExtent l="19050" t="0" r="0" b="0"/>
                  <wp:docPr id="5" name="Grafik69" descr="Hocke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69" descr="Hockey"/>
                          <pic:cNvPicPr>
                            <a:picLocks noRot="1" noChangeArrowheads="1"/>
                          </pic:cNvPicPr>
                        </pic:nvPicPr>
                        <pic:blipFill>
                          <a:blip r:embed="rId5" cstate="print"/>
                          <a:srcRect/>
                          <a:stretch>
                            <a:fillRect/>
                          </a:stretch>
                        </pic:blipFill>
                        <pic:spPr bwMode="auto">
                          <a:xfrm>
                            <a:off x="0" y="0"/>
                            <a:ext cx="438150" cy="457200"/>
                          </a:xfrm>
                          <a:prstGeom prst="rect">
                            <a:avLst/>
                          </a:prstGeom>
                          <a:noFill/>
                          <a:ln w="9525">
                            <a:noFill/>
                            <a:miter lim="800000"/>
                            <a:headEnd/>
                            <a:tailEnd/>
                          </a:ln>
                        </pic:spPr>
                      </pic:pic>
                    </a:graphicData>
                  </a:graphic>
                </wp:inline>
              </w:drawing>
            </w:r>
            <w:r>
              <w:t xml:space="preserve">  </w:t>
            </w:r>
            <w:r>
              <w:rPr>
                <w:noProof/>
              </w:rPr>
              <w:drawing>
                <wp:inline distT="0" distB="0" distL="0" distR="0">
                  <wp:extent cx="438150" cy="457200"/>
                  <wp:effectExtent l="19050" t="0" r="0" b="0"/>
                  <wp:docPr id="6" name="Grafik68" descr="Hocke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68" descr="Hockey"/>
                          <pic:cNvPicPr>
                            <a:picLocks noRot="1" noChangeArrowheads="1"/>
                          </pic:cNvPicPr>
                        </pic:nvPicPr>
                        <pic:blipFill>
                          <a:blip r:embed="rId5" cstate="print"/>
                          <a:srcRect/>
                          <a:stretch>
                            <a:fillRect/>
                          </a:stretch>
                        </pic:blipFill>
                        <pic:spPr bwMode="auto">
                          <a:xfrm>
                            <a:off x="0" y="0"/>
                            <a:ext cx="438150" cy="457200"/>
                          </a:xfrm>
                          <a:prstGeom prst="rect">
                            <a:avLst/>
                          </a:prstGeom>
                          <a:noFill/>
                          <a:ln w="9525">
                            <a:noFill/>
                            <a:miter lim="800000"/>
                            <a:headEnd/>
                            <a:tailEnd/>
                          </a:ln>
                        </pic:spPr>
                      </pic:pic>
                    </a:graphicData>
                  </a:graphic>
                </wp:inline>
              </w:drawing>
            </w:r>
            <w:r>
              <w:t xml:space="preserve">  </w:t>
            </w:r>
            <w:r>
              <w:rPr>
                <w:noProof/>
              </w:rPr>
              <w:drawing>
                <wp:inline distT="0" distB="0" distL="0" distR="0">
                  <wp:extent cx="438150" cy="457200"/>
                  <wp:effectExtent l="19050" t="0" r="0" b="0"/>
                  <wp:docPr id="7" name="Grafik67" descr="Hocke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67" descr="Hockey"/>
                          <pic:cNvPicPr>
                            <a:picLocks noRot="1" noChangeArrowheads="1"/>
                          </pic:cNvPicPr>
                        </pic:nvPicPr>
                        <pic:blipFill>
                          <a:blip r:embed="rId5" cstate="print"/>
                          <a:srcRect/>
                          <a:stretch>
                            <a:fillRect/>
                          </a:stretch>
                        </pic:blipFill>
                        <pic:spPr bwMode="auto">
                          <a:xfrm>
                            <a:off x="0" y="0"/>
                            <a:ext cx="438150" cy="457200"/>
                          </a:xfrm>
                          <a:prstGeom prst="rect">
                            <a:avLst/>
                          </a:prstGeom>
                          <a:noFill/>
                          <a:ln w="9525">
                            <a:noFill/>
                            <a:miter lim="800000"/>
                            <a:headEnd/>
                            <a:tailEnd/>
                          </a:ln>
                        </pic:spPr>
                      </pic:pic>
                    </a:graphicData>
                  </a:graphic>
                </wp:inline>
              </w:drawing>
            </w:r>
            <w:r>
              <w:t xml:space="preserve">  </w:t>
            </w:r>
            <w:r>
              <w:rPr>
                <w:noProof/>
              </w:rPr>
              <w:drawing>
                <wp:inline distT="0" distB="0" distL="0" distR="0">
                  <wp:extent cx="438150" cy="457200"/>
                  <wp:effectExtent l="19050" t="0" r="0" b="0"/>
                  <wp:docPr id="8" name="Grafik66" descr="Hocke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66" descr="Hockey"/>
                          <pic:cNvPicPr>
                            <a:picLocks noRot="1" noChangeArrowheads="1"/>
                          </pic:cNvPicPr>
                        </pic:nvPicPr>
                        <pic:blipFill>
                          <a:blip r:embed="rId5" cstate="print"/>
                          <a:srcRect/>
                          <a:stretch>
                            <a:fillRect/>
                          </a:stretch>
                        </pic:blipFill>
                        <pic:spPr bwMode="auto">
                          <a:xfrm>
                            <a:off x="0" y="0"/>
                            <a:ext cx="438150" cy="457200"/>
                          </a:xfrm>
                          <a:prstGeom prst="rect">
                            <a:avLst/>
                          </a:prstGeom>
                          <a:noFill/>
                          <a:ln w="9525">
                            <a:noFill/>
                            <a:miter lim="800000"/>
                            <a:headEnd/>
                            <a:tailEnd/>
                          </a:ln>
                        </pic:spPr>
                      </pic:pic>
                    </a:graphicData>
                  </a:graphic>
                </wp:inline>
              </w:drawing>
            </w:r>
            <w:r>
              <w:t xml:space="preserve">  </w:t>
            </w:r>
            <w:r>
              <w:rPr>
                <w:noProof/>
              </w:rPr>
              <w:drawing>
                <wp:inline distT="0" distB="0" distL="0" distR="0">
                  <wp:extent cx="438150" cy="457200"/>
                  <wp:effectExtent l="19050" t="0" r="0" b="0"/>
                  <wp:docPr id="9" name="Grafik65" descr="Hocke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65" descr="Hockey"/>
                          <pic:cNvPicPr>
                            <a:picLocks noRot="1" noChangeArrowheads="1"/>
                          </pic:cNvPicPr>
                        </pic:nvPicPr>
                        <pic:blipFill>
                          <a:blip r:embed="rId5" cstate="print"/>
                          <a:srcRect/>
                          <a:stretch>
                            <a:fillRect/>
                          </a:stretch>
                        </pic:blipFill>
                        <pic:spPr bwMode="auto">
                          <a:xfrm>
                            <a:off x="0" y="0"/>
                            <a:ext cx="438150" cy="457200"/>
                          </a:xfrm>
                          <a:prstGeom prst="rect">
                            <a:avLst/>
                          </a:prstGeom>
                          <a:noFill/>
                          <a:ln w="9525">
                            <a:noFill/>
                            <a:miter lim="800000"/>
                            <a:headEnd/>
                            <a:tailEnd/>
                          </a:ln>
                        </pic:spPr>
                      </pic:pic>
                    </a:graphicData>
                  </a:graphic>
                </wp:inline>
              </w:drawing>
            </w:r>
            <w:r>
              <w:t xml:space="preserve">  </w:t>
            </w:r>
            <w:r>
              <w:rPr>
                <w:noProof/>
              </w:rPr>
              <w:drawing>
                <wp:inline distT="0" distB="0" distL="0" distR="0">
                  <wp:extent cx="438150" cy="457200"/>
                  <wp:effectExtent l="19050" t="0" r="0" b="0"/>
                  <wp:docPr id="10" name="Grafik64" descr="Hocke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64" descr="Hockey"/>
                          <pic:cNvPicPr>
                            <a:picLocks noRot="1" noChangeArrowheads="1"/>
                          </pic:cNvPicPr>
                        </pic:nvPicPr>
                        <pic:blipFill>
                          <a:blip r:embed="rId5" cstate="print"/>
                          <a:srcRect/>
                          <a:stretch>
                            <a:fillRect/>
                          </a:stretch>
                        </pic:blipFill>
                        <pic:spPr bwMode="auto">
                          <a:xfrm>
                            <a:off x="0" y="0"/>
                            <a:ext cx="438150" cy="457200"/>
                          </a:xfrm>
                          <a:prstGeom prst="rect">
                            <a:avLst/>
                          </a:prstGeom>
                          <a:noFill/>
                          <a:ln w="9525">
                            <a:noFill/>
                            <a:miter lim="800000"/>
                            <a:headEnd/>
                            <a:tailEnd/>
                          </a:ln>
                        </pic:spPr>
                      </pic:pic>
                    </a:graphicData>
                  </a:graphic>
                </wp:inline>
              </w:drawing>
            </w:r>
            <w:r>
              <w:t xml:space="preserve">  </w:t>
            </w:r>
            <w:r>
              <w:rPr>
                <w:noProof/>
              </w:rPr>
              <w:drawing>
                <wp:inline distT="0" distB="0" distL="0" distR="0">
                  <wp:extent cx="438150" cy="457200"/>
                  <wp:effectExtent l="19050" t="0" r="0" b="0"/>
                  <wp:docPr id="11" name="Grafik63" descr="Hocke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63" descr="Hockey"/>
                          <pic:cNvPicPr>
                            <a:picLocks noRot="1" noChangeArrowheads="1"/>
                          </pic:cNvPicPr>
                        </pic:nvPicPr>
                        <pic:blipFill>
                          <a:blip r:embed="rId5" cstate="print"/>
                          <a:srcRect/>
                          <a:stretch>
                            <a:fillRect/>
                          </a:stretch>
                        </pic:blipFill>
                        <pic:spPr bwMode="auto">
                          <a:xfrm>
                            <a:off x="0" y="0"/>
                            <a:ext cx="438150" cy="457200"/>
                          </a:xfrm>
                          <a:prstGeom prst="rect">
                            <a:avLst/>
                          </a:prstGeom>
                          <a:noFill/>
                          <a:ln w="9525">
                            <a:noFill/>
                            <a:miter lim="800000"/>
                            <a:headEnd/>
                            <a:tailEnd/>
                          </a:ln>
                        </pic:spPr>
                      </pic:pic>
                    </a:graphicData>
                  </a:graphic>
                </wp:inline>
              </w:drawing>
            </w:r>
            <w:r>
              <w:t xml:space="preserve">  </w:t>
            </w:r>
          </w:p>
        </w:tc>
      </w:tr>
    </w:tbl>
    <w:p w:rsidR="00095D78" w:rsidRDefault="00095D78" w:rsidP="00095D78">
      <w:pPr>
        <w:widowControl w:val="0"/>
        <w:spacing w:after="0" w:line="200" w:lineRule="exact"/>
        <w:rPr>
          <w:rFonts w:ascii="Times New Roman" w:hAnsi="Times New Roman" w:cs="Times New Roman"/>
          <w:sz w:val="24"/>
          <w:szCs w:val="24"/>
        </w:rPr>
      </w:pPr>
    </w:p>
    <w:tbl>
      <w:tblPr>
        <w:tblW w:w="9612" w:type="dxa"/>
        <w:jc w:val="center"/>
        <w:tblCellMar>
          <w:top w:w="57" w:type="dxa"/>
          <w:left w:w="57" w:type="dxa"/>
          <w:bottom w:w="57" w:type="dxa"/>
          <w:right w:w="57" w:type="dxa"/>
        </w:tblCellMar>
        <w:tblLook w:val="04A0"/>
      </w:tblPr>
      <w:tblGrid>
        <w:gridCol w:w="3204"/>
        <w:gridCol w:w="3204"/>
        <w:gridCol w:w="3204"/>
      </w:tblGrid>
      <w:tr w:rsidR="00095D78" w:rsidTr="00095D78">
        <w:trPr>
          <w:cantSplit/>
          <w:jc w:val="center"/>
        </w:trPr>
        <w:tc>
          <w:tcPr>
            <w:tcW w:w="3204" w:type="dxa"/>
            <w:hideMark/>
          </w:tcPr>
          <w:p w:rsidR="00095D78" w:rsidRDefault="00095D78">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1333500" cy="1143000"/>
                  <wp:effectExtent l="19050" t="0" r="0" b="0"/>
                  <wp:docPr id="13" name="Grafik61" descr="Jtfo_basis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61" descr="Jtfo_basis_rgb"/>
                          <pic:cNvPicPr>
                            <a:picLocks noRot="1" noChangeArrowheads="1"/>
                          </pic:cNvPicPr>
                        </pic:nvPicPr>
                        <pic:blipFill>
                          <a:blip r:embed="rId6" cstate="print"/>
                          <a:srcRect/>
                          <a:stretch>
                            <a:fillRect/>
                          </a:stretch>
                        </pic:blipFill>
                        <pic:spPr bwMode="auto">
                          <a:xfrm>
                            <a:off x="0" y="0"/>
                            <a:ext cx="1333500" cy="1143000"/>
                          </a:xfrm>
                          <a:prstGeom prst="rect">
                            <a:avLst/>
                          </a:prstGeom>
                          <a:noFill/>
                          <a:ln w="9525">
                            <a:noFill/>
                            <a:miter lim="800000"/>
                            <a:headEnd/>
                            <a:tailEnd/>
                          </a:ln>
                        </pic:spPr>
                      </pic:pic>
                    </a:graphicData>
                  </a:graphic>
                </wp:inline>
              </w:drawing>
            </w:r>
          </w:p>
        </w:tc>
        <w:tc>
          <w:tcPr>
            <w:tcW w:w="3204" w:type="dxa"/>
          </w:tcPr>
          <w:p w:rsidR="00095D78" w:rsidRDefault="00095D78">
            <w:pPr>
              <w:widowControl w:val="0"/>
              <w:spacing w:after="0" w:line="240" w:lineRule="auto"/>
              <w:ind w:left="640"/>
              <w:rPr>
                <w:rFonts w:ascii="Times New Roman" w:hAnsi="Times New Roman" w:cs="Times New Roman"/>
                <w:sz w:val="24"/>
                <w:szCs w:val="24"/>
              </w:rPr>
            </w:pPr>
          </w:p>
          <w:p w:rsidR="00095D78" w:rsidRDefault="00095D78">
            <w:pPr>
              <w:widowControl w:val="0"/>
              <w:spacing w:after="0" w:line="240" w:lineRule="auto"/>
              <w:ind w:left="640"/>
              <w:rPr>
                <w:rFonts w:ascii="Times New Roman" w:hAnsi="Times New Roman" w:cs="Times New Roman"/>
                <w:sz w:val="24"/>
                <w:szCs w:val="24"/>
              </w:rPr>
            </w:pPr>
          </w:p>
          <w:p w:rsidR="00095D78" w:rsidRDefault="00095D78">
            <w:pPr>
              <w:widowControl w:val="0"/>
              <w:spacing w:after="0" w:line="240" w:lineRule="auto"/>
              <w:ind w:left="640"/>
              <w:rPr>
                <w:rFonts w:ascii="Times New Roman" w:hAnsi="Times New Roman" w:cs="Times New Roman"/>
                <w:sz w:val="24"/>
                <w:szCs w:val="24"/>
              </w:rPr>
            </w:pPr>
          </w:p>
          <w:p w:rsidR="00095D78" w:rsidRDefault="00095D78">
            <w:pPr>
              <w:widowControl w:val="0"/>
              <w:spacing w:after="0" w:line="240" w:lineRule="auto"/>
              <w:ind w:left="640"/>
              <w:rPr>
                <w:rFonts w:ascii="Arial" w:hAnsi="Arial" w:cs="Arial"/>
                <w:b/>
                <w:sz w:val="28"/>
                <w:szCs w:val="28"/>
              </w:rPr>
            </w:pPr>
            <w:r>
              <w:rPr>
                <w:rFonts w:ascii="Arial" w:hAnsi="Arial" w:cs="Arial"/>
                <w:b/>
                <w:sz w:val="28"/>
                <w:szCs w:val="28"/>
              </w:rPr>
              <w:t>Ausschreibung</w:t>
            </w:r>
          </w:p>
        </w:tc>
        <w:tc>
          <w:tcPr>
            <w:tcW w:w="3204" w:type="dxa"/>
            <w:hideMark/>
          </w:tcPr>
          <w:p w:rsidR="00095D78" w:rsidRDefault="00095D78">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1400175" cy="1085850"/>
                  <wp:effectExtent l="19050" t="0" r="9525" b="0"/>
                  <wp:docPr id="14" name="Grafik60" descr="clip_image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60" descr="clip_image002"/>
                          <pic:cNvPicPr>
                            <a:picLocks noRot="1" noChangeArrowheads="1"/>
                          </pic:cNvPicPr>
                        </pic:nvPicPr>
                        <pic:blipFill>
                          <a:blip r:embed="rId7" cstate="print"/>
                          <a:srcRect/>
                          <a:stretch>
                            <a:fillRect/>
                          </a:stretch>
                        </pic:blipFill>
                        <pic:spPr bwMode="auto">
                          <a:xfrm>
                            <a:off x="0" y="0"/>
                            <a:ext cx="1400175" cy="1085850"/>
                          </a:xfrm>
                          <a:prstGeom prst="rect">
                            <a:avLst/>
                          </a:prstGeom>
                          <a:noFill/>
                          <a:ln w="9525">
                            <a:noFill/>
                            <a:miter lim="800000"/>
                            <a:headEnd/>
                            <a:tailEnd/>
                          </a:ln>
                        </pic:spPr>
                      </pic:pic>
                    </a:graphicData>
                  </a:graphic>
                </wp:inline>
              </w:drawing>
            </w:r>
          </w:p>
        </w:tc>
      </w:tr>
    </w:tbl>
    <w:p w:rsidR="00095D78" w:rsidRDefault="00095D78" w:rsidP="00095D78">
      <w:pPr>
        <w:widowControl w:val="0"/>
        <w:spacing w:after="0" w:line="200" w:lineRule="exact"/>
        <w:jc w:val="center"/>
        <w:rPr>
          <w:rFonts w:ascii="Times New Roman" w:hAnsi="Times New Roman" w:cs="Times New Roman"/>
          <w:sz w:val="24"/>
          <w:szCs w:val="24"/>
        </w:rPr>
      </w:pPr>
    </w:p>
    <w:p w:rsidR="00095D78" w:rsidRDefault="00095D78" w:rsidP="00095D78">
      <w:pPr>
        <w:widowControl w:val="0"/>
        <w:spacing w:after="0" w:line="218" w:lineRule="exact"/>
        <w:jc w:val="center"/>
        <w:rPr>
          <w:rFonts w:ascii="Times New Roman" w:hAnsi="Times New Roman" w:cs="Times New Roman"/>
          <w:sz w:val="24"/>
          <w:szCs w:val="24"/>
        </w:rPr>
      </w:pPr>
    </w:p>
    <w:p w:rsidR="00095D78" w:rsidRDefault="00095D78" w:rsidP="00095D78">
      <w:pPr>
        <w:widowControl w:val="0"/>
        <w:spacing w:after="0" w:line="240" w:lineRule="auto"/>
        <w:ind w:left="640"/>
        <w:jc w:val="center"/>
        <w:rPr>
          <w:rFonts w:ascii="Times New Roman" w:hAnsi="Times New Roman" w:cs="Times New Roman"/>
          <w:sz w:val="24"/>
          <w:szCs w:val="24"/>
        </w:rPr>
      </w:pPr>
      <w:r>
        <w:rPr>
          <w:rFonts w:ascii="Arial" w:hAnsi="Arial" w:cs="Arial"/>
          <w:b/>
          <w:bCs/>
          <w:sz w:val="28"/>
          <w:szCs w:val="28"/>
        </w:rPr>
        <w:t>Bundeswettbewerb der Schulen „Jugend trainiert für Olympia“</w:t>
      </w:r>
    </w:p>
    <w:p w:rsidR="00095D78" w:rsidRDefault="00095D78" w:rsidP="00095D78">
      <w:pPr>
        <w:widowControl w:val="0"/>
        <w:spacing w:after="0" w:line="329" w:lineRule="exact"/>
        <w:rPr>
          <w:rFonts w:ascii="Times New Roman" w:hAnsi="Times New Roman" w:cs="Times New Roman"/>
          <w:sz w:val="24"/>
          <w:szCs w:val="24"/>
        </w:rPr>
      </w:pPr>
    </w:p>
    <w:p w:rsidR="00095D78" w:rsidRDefault="00095D78" w:rsidP="00095D78">
      <w:pPr>
        <w:widowControl w:val="0"/>
        <w:spacing w:after="0" w:line="240" w:lineRule="auto"/>
        <w:rPr>
          <w:rFonts w:ascii="Times New Roman" w:hAnsi="Times New Roman" w:cs="Times New Roman"/>
          <w:sz w:val="24"/>
          <w:szCs w:val="24"/>
        </w:rPr>
      </w:pPr>
      <w:r>
        <w:rPr>
          <w:rFonts w:ascii="Arial" w:hAnsi="Arial" w:cs="Arial"/>
          <w:i/>
          <w:iCs/>
          <w:sz w:val="24"/>
          <w:szCs w:val="24"/>
        </w:rPr>
        <w:t>Landesfinale Brandenburg  2018/2019                  Hockey WK III m+ w (2004-2007)</w:t>
      </w:r>
    </w:p>
    <w:p w:rsidR="00095D78" w:rsidRDefault="00095D78" w:rsidP="00095D78">
      <w:pPr>
        <w:widowControl w:val="0"/>
        <w:spacing w:after="0" w:line="225" w:lineRule="exact"/>
        <w:rPr>
          <w:rFonts w:ascii="Times New Roman" w:hAnsi="Times New Roman" w:cs="Times New Roman"/>
          <w:sz w:val="24"/>
          <w:szCs w:val="24"/>
        </w:rPr>
      </w:pPr>
    </w:p>
    <w:p w:rsidR="00095D78" w:rsidRDefault="00095D78" w:rsidP="00095D78">
      <w:pPr>
        <w:widowControl w:val="0"/>
        <w:spacing w:after="0" w:line="240" w:lineRule="auto"/>
        <w:rPr>
          <w:rFonts w:ascii="Times New Roman" w:hAnsi="Times New Roman" w:cs="Times New Roman"/>
          <w:sz w:val="24"/>
          <w:szCs w:val="24"/>
        </w:rPr>
      </w:pPr>
      <w:r>
        <w:rPr>
          <w:rFonts w:ascii="Arial" w:hAnsi="Arial" w:cs="Arial"/>
          <w:sz w:val="24"/>
          <w:szCs w:val="24"/>
        </w:rPr>
        <w:t>__________________________________________________________________</w:t>
      </w:r>
    </w:p>
    <w:p w:rsidR="00095D78" w:rsidRDefault="00095D78" w:rsidP="00095D78">
      <w:pPr>
        <w:widowControl w:val="0"/>
        <w:spacing w:after="0" w:line="276" w:lineRule="exact"/>
        <w:rPr>
          <w:rFonts w:ascii="Times New Roman" w:hAnsi="Times New Roman" w:cs="Times New Roman"/>
          <w:sz w:val="24"/>
          <w:szCs w:val="24"/>
        </w:rPr>
      </w:pPr>
    </w:p>
    <w:p w:rsidR="00095D78" w:rsidRDefault="00095D78" w:rsidP="00095D78">
      <w:pPr>
        <w:widowControl w:val="0"/>
        <w:tabs>
          <w:tab w:val="left" w:pos="2100"/>
        </w:tabs>
        <w:spacing w:after="0" w:line="240" w:lineRule="auto"/>
        <w:rPr>
          <w:rFonts w:ascii="Times New Roman" w:hAnsi="Times New Roman" w:cs="Times New Roman"/>
          <w:sz w:val="24"/>
          <w:szCs w:val="24"/>
        </w:rPr>
      </w:pPr>
      <w:r>
        <w:rPr>
          <w:rFonts w:ascii="Arial" w:hAnsi="Arial" w:cs="Arial"/>
          <w:sz w:val="24"/>
          <w:szCs w:val="24"/>
        </w:rPr>
        <w:t>Veranstalter:</w:t>
      </w:r>
      <w:r>
        <w:rPr>
          <w:rFonts w:ascii="Times New Roman" w:hAnsi="Times New Roman" w:cs="Times New Roman"/>
          <w:sz w:val="24"/>
          <w:szCs w:val="24"/>
        </w:rPr>
        <w:tab/>
      </w:r>
      <w:r>
        <w:rPr>
          <w:rFonts w:ascii="Arial" w:hAnsi="Arial" w:cs="Arial"/>
          <w:sz w:val="24"/>
          <w:szCs w:val="24"/>
        </w:rPr>
        <w:t>Ministerium f. Bildung, Jugend und Sport d. Landes Brandenburg</w:t>
      </w:r>
    </w:p>
    <w:p w:rsidR="00095D78" w:rsidRDefault="00095D78" w:rsidP="00095D78">
      <w:pPr>
        <w:widowControl w:val="0"/>
        <w:tabs>
          <w:tab w:val="left" w:pos="2120"/>
        </w:tabs>
        <w:spacing w:after="0" w:line="240" w:lineRule="auto"/>
        <w:rPr>
          <w:rFonts w:ascii="Arial" w:hAnsi="Arial" w:cs="Arial"/>
          <w:sz w:val="24"/>
          <w:szCs w:val="24"/>
        </w:rPr>
      </w:pPr>
    </w:p>
    <w:p w:rsidR="00095D78" w:rsidRDefault="00095D78" w:rsidP="00095D78">
      <w:pPr>
        <w:widowControl w:val="0"/>
        <w:tabs>
          <w:tab w:val="left" w:pos="2120"/>
        </w:tabs>
        <w:spacing w:after="0" w:line="240" w:lineRule="auto"/>
        <w:rPr>
          <w:rFonts w:ascii="Times New Roman" w:hAnsi="Times New Roman" w:cs="Times New Roman"/>
          <w:sz w:val="24"/>
          <w:szCs w:val="24"/>
        </w:rPr>
      </w:pPr>
      <w:r>
        <w:rPr>
          <w:rFonts w:ascii="Arial" w:hAnsi="Arial" w:cs="Arial"/>
          <w:sz w:val="24"/>
          <w:szCs w:val="24"/>
        </w:rPr>
        <w:t>Ausrichter:</w:t>
      </w:r>
      <w:r>
        <w:rPr>
          <w:rFonts w:ascii="Times New Roman" w:hAnsi="Times New Roman" w:cs="Times New Roman"/>
          <w:sz w:val="24"/>
          <w:szCs w:val="24"/>
        </w:rPr>
        <w:tab/>
      </w:r>
      <w:r>
        <w:rPr>
          <w:rFonts w:ascii="Arial" w:hAnsi="Arial" w:cs="Arial"/>
          <w:sz w:val="24"/>
          <w:szCs w:val="24"/>
        </w:rPr>
        <w:t>Staatliches Schulamt Brandenburg an der Havel</w:t>
      </w:r>
    </w:p>
    <w:p w:rsidR="00095D78" w:rsidRDefault="00095D78" w:rsidP="00095D78">
      <w:pPr>
        <w:widowControl w:val="0"/>
        <w:spacing w:after="0" w:line="34" w:lineRule="exact"/>
        <w:rPr>
          <w:rFonts w:ascii="Times New Roman" w:hAnsi="Times New Roman" w:cs="Times New Roman"/>
          <w:sz w:val="24"/>
          <w:szCs w:val="24"/>
        </w:rPr>
      </w:pPr>
    </w:p>
    <w:p w:rsidR="00095D78" w:rsidRDefault="00095D78" w:rsidP="00095D78">
      <w:pPr>
        <w:widowControl w:val="0"/>
        <w:spacing w:after="0" w:line="240" w:lineRule="auto"/>
        <w:ind w:left="2140"/>
        <w:rPr>
          <w:rFonts w:ascii="Arial" w:hAnsi="Arial" w:cs="Arial"/>
          <w:sz w:val="24"/>
          <w:szCs w:val="24"/>
        </w:rPr>
      </w:pPr>
      <w:r>
        <w:rPr>
          <w:rFonts w:ascii="Arial" w:hAnsi="Arial" w:cs="Arial"/>
          <w:sz w:val="24"/>
          <w:szCs w:val="24"/>
        </w:rPr>
        <w:t>Magdeburger Straße 45</w:t>
      </w:r>
      <w:r>
        <w:rPr>
          <w:rFonts w:ascii="Times New Roman" w:hAnsi="Times New Roman" w:cs="Times New Roman"/>
          <w:sz w:val="24"/>
          <w:szCs w:val="24"/>
        </w:rPr>
        <w:t xml:space="preserve">, </w:t>
      </w:r>
      <w:r>
        <w:rPr>
          <w:rFonts w:ascii="Arial" w:hAnsi="Arial" w:cs="Arial"/>
          <w:sz w:val="24"/>
          <w:szCs w:val="24"/>
        </w:rPr>
        <w:t>14770 Brandenburg</w:t>
      </w:r>
    </w:p>
    <w:p w:rsidR="00095D78" w:rsidRDefault="00095D78" w:rsidP="00095D78">
      <w:pPr>
        <w:widowControl w:val="0"/>
        <w:spacing w:after="0" w:line="240" w:lineRule="auto"/>
        <w:ind w:left="2140"/>
        <w:rPr>
          <w:rFonts w:ascii="Times New Roman" w:hAnsi="Times New Roman" w:cs="Times New Roman"/>
          <w:sz w:val="24"/>
          <w:szCs w:val="24"/>
        </w:rPr>
      </w:pPr>
    </w:p>
    <w:p w:rsidR="00095D78" w:rsidRDefault="00095D78" w:rsidP="00095D78">
      <w:pPr>
        <w:widowControl w:val="0"/>
        <w:spacing w:after="0" w:line="240" w:lineRule="auto"/>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Schulsportberater Stadt Potsdam</w:t>
      </w:r>
    </w:p>
    <w:p w:rsidR="00095D78" w:rsidRDefault="00095D78" w:rsidP="00095D78">
      <w:pPr>
        <w:widowControl w:val="0"/>
        <w:spacing w:after="0" w:line="240" w:lineRule="auto"/>
        <w:rPr>
          <w:rFonts w:ascii="Times New Roman" w:hAnsi="Times New Roman" w:cs="Times New Roman"/>
          <w:sz w:val="24"/>
          <w:szCs w:val="24"/>
        </w:rPr>
      </w:pPr>
      <w:r>
        <w:rPr>
          <w:rFonts w:ascii="Arial" w:hAnsi="Arial" w:cs="Arial"/>
          <w:sz w:val="24"/>
          <w:szCs w:val="24"/>
        </w:rPr>
        <w:t xml:space="preserve">                                Schulhockeyreferentin Katrin Sachse</w:t>
      </w:r>
    </w:p>
    <w:p w:rsidR="00095D78" w:rsidRDefault="00095D78" w:rsidP="00095D78">
      <w:pPr>
        <w:widowControl w:val="0"/>
        <w:spacing w:after="0" w:line="276" w:lineRule="exact"/>
        <w:rPr>
          <w:rFonts w:ascii="Times New Roman" w:hAnsi="Times New Roman" w:cs="Times New Roman"/>
          <w:sz w:val="24"/>
          <w:szCs w:val="24"/>
        </w:rPr>
      </w:pPr>
    </w:p>
    <w:p w:rsidR="00095D78" w:rsidRDefault="00095D78" w:rsidP="00095D78">
      <w:pPr>
        <w:pStyle w:val="KeinLeerraum"/>
        <w:rPr>
          <w:rFonts w:ascii="Arial" w:hAnsi="Arial" w:cs="Arial"/>
          <w:sz w:val="24"/>
          <w:szCs w:val="24"/>
        </w:rPr>
      </w:pPr>
    </w:p>
    <w:p w:rsidR="00095D78" w:rsidRDefault="00095D78" w:rsidP="00095D78">
      <w:pPr>
        <w:pStyle w:val="KeinLeerraum"/>
        <w:rPr>
          <w:rFonts w:ascii="Arial" w:hAnsi="Arial" w:cs="Arial"/>
          <w:sz w:val="24"/>
          <w:szCs w:val="24"/>
        </w:rPr>
      </w:pPr>
      <w:r>
        <w:rPr>
          <w:rFonts w:ascii="Arial" w:hAnsi="Arial" w:cs="Arial"/>
          <w:sz w:val="24"/>
          <w:szCs w:val="24"/>
        </w:rPr>
        <w:t xml:space="preserve">Wettkampfort:          Kunstrasenplatz der Potsdamer Sport Union 04,                                                             </w:t>
      </w:r>
    </w:p>
    <w:p w:rsidR="00095D78" w:rsidRDefault="00095D78" w:rsidP="00095D78">
      <w:pPr>
        <w:widowControl w:val="0"/>
        <w:tabs>
          <w:tab w:val="left" w:pos="2160"/>
        </w:tabs>
        <w:spacing w:after="0" w:line="240" w:lineRule="auto"/>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Templiner Str.24, 14473 Potsdam</w:t>
      </w:r>
    </w:p>
    <w:p w:rsidR="00095D78" w:rsidRDefault="00095D78" w:rsidP="00095D78">
      <w:pPr>
        <w:widowControl w:val="0"/>
        <w:tabs>
          <w:tab w:val="left" w:pos="2100"/>
        </w:tabs>
        <w:spacing w:after="0" w:line="240" w:lineRule="auto"/>
        <w:rPr>
          <w:rFonts w:ascii="Arial" w:hAnsi="Arial" w:cs="Arial"/>
          <w:sz w:val="24"/>
          <w:szCs w:val="24"/>
        </w:rPr>
      </w:pPr>
    </w:p>
    <w:p w:rsidR="00095D78" w:rsidRPr="00095D78" w:rsidRDefault="00095D78" w:rsidP="00095D78">
      <w:pPr>
        <w:widowControl w:val="0"/>
        <w:tabs>
          <w:tab w:val="left" w:pos="2100"/>
        </w:tabs>
        <w:spacing w:after="0" w:line="240" w:lineRule="auto"/>
        <w:rPr>
          <w:rFonts w:ascii="Arial" w:hAnsi="Arial" w:cs="Arial"/>
          <w:sz w:val="18"/>
          <w:szCs w:val="18"/>
        </w:rPr>
      </w:pPr>
      <w:r>
        <w:rPr>
          <w:rFonts w:ascii="Arial" w:hAnsi="Arial" w:cs="Arial"/>
          <w:sz w:val="24"/>
          <w:szCs w:val="24"/>
        </w:rPr>
        <w:t xml:space="preserve">Termin:                    Donnerstag, 06.06.2019, 10.00 – 16.00 Uhr, </w:t>
      </w:r>
      <w:r w:rsidRPr="00095D78">
        <w:rPr>
          <w:rFonts w:ascii="Arial" w:hAnsi="Arial" w:cs="Arial"/>
          <w:sz w:val="18"/>
          <w:szCs w:val="18"/>
        </w:rPr>
        <w:t>bis 09.30 Uhr Anreise</w:t>
      </w:r>
    </w:p>
    <w:p w:rsidR="00095D78" w:rsidRDefault="00095D78" w:rsidP="00095D78">
      <w:pPr>
        <w:widowControl w:val="0"/>
        <w:spacing w:after="0" w:line="290" w:lineRule="exact"/>
        <w:rPr>
          <w:rFonts w:ascii="Times New Roman" w:hAnsi="Times New Roman" w:cs="Times New Roman"/>
          <w:sz w:val="24"/>
          <w:szCs w:val="24"/>
        </w:rPr>
      </w:pPr>
    </w:p>
    <w:p w:rsidR="00095D78" w:rsidRDefault="00095D78" w:rsidP="00095D78">
      <w:pPr>
        <w:pStyle w:val="KeinLeerraum"/>
        <w:jc w:val="both"/>
        <w:rPr>
          <w:rFonts w:ascii="Arial" w:hAnsi="Arial" w:cs="Arial"/>
          <w:sz w:val="24"/>
          <w:szCs w:val="24"/>
        </w:rPr>
      </w:pPr>
    </w:p>
    <w:p w:rsidR="00095D78" w:rsidRDefault="00095D78" w:rsidP="00095D78">
      <w:pPr>
        <w:pStyle w:val="KeinLeerraum"/>
        <w:jc w:val="both"/>
        <w:rPr>
          <w:rFonts w:ascii="Arial" w:hAnsi="Arial" w:cs="Arial"/>
          <w:sz w:val="24"/>
          <w:szCs w:val="24"/>
        </w:rPr>
      </w:pPr>
      <w:r>
        <w:rPr>
          <w:rFonts w:ascii="Arial" w:hAnsi="Arial" w:cs="Arial"/>
          <w:sz w:val="24"/>
          <w:szCs w:val="24"/>
        </w:rPr>
        <w:t>Teilnehmer:</w:t>
      </w:r>
      <w:r>
        <w:rPr>
          <w:rFonts w:ascii="Times New Roman" w:hAnsi="Times New Roman" w:cs="Times New Roman"/>
        </w:rPr>
        <w:tab/>
        <w:t xml:space="preserve">           </w:t>
      </w:r>
      <w:r>
        <w:rPr>
          <w:rFonts w:ascii="Arial" w:hAnsi="Arial" w:cs="Arial"/>
          <w:sz w:val="24"/>
          <w:szCs w:val="24"/>
        </w:rPr>
        <w:t xml:space="preserve">In der Sportart Hockey WK III besteht ein direktes Startrecht einer  </w:t>
      </w:r>
    </w:p>
    <w:p w:rsidR="00095D78" w:rsidRDefault="00095D78" w:rsidP="00095D78">
      <w:pPr>
        <w:pStyle w:val="KeinLeerraum"/>
        <w:jc w:val="both"/>
        <w:rPr>
          <w:rFonts w:ascii="Arial" w:hAnsi="Arial" w:cs="Arial"/>
          <w:sz w:val="24"/>
          <w:szCs w:val="24"/>
        </w:rPr>
      </w:pPr>
      <w:r>
        <w:rPr>
          <w:rFonts w:ascii="Arial" w:hAnsi="Arial" w:cs="Arial"/>
          <w:sz w:val="24"/>
          <w:szCs w:val="24"/>
        </w:rPr>
        <w:t xml:space="preserve">                                Mannschaft aus einer Region, wenn keine Regionalfinals möglich  </w:t>
      </w:r>
    </w:p>
    <w:p w:rsidR="00095D78" w:rsidRDefault="00095D78" w:rsidP="00095D78">
      <w:pPr>
        <w:pStyle w:val="KeinLeerraum"/>
        <w:jc w:val="both"/>
        <w:rPr>
          <w:rFonts w:ascii="Arial" w:hAnsi="Arial" w:cs="Arial"/>
          <w:sz w:val="24"/>
          <w:szCs w:val="24"/>
        </w:rPr>
      </w:pPr>
      <w:r>
        <w:rPr>
          <w:rFonts w:ascii="Arial" w:hAnsi="Arial" w:cs="Arial"/>
          <w:sz w:val="24"/>
          <w:szCs w:val="24"/>
        </w:rPr>
        <w:t xml:space="preserve">                                waren. </w:t>
      </w:r>
    </w:p>
    <w:p w:rsidR="00095D78" w:rsidRDefault="00095D78" w:rsidP="00095D78">
      <w:pPr>
        <w:pStyle w:val="KeinLeerraum"/>
        <w:jc w:val="both"/>
        <w:rPr>
          <w:rFonts w:ascii="Times New Roman" w:hAnsi="Times New Roman" w:cs="Times New Roman"/>
          <w:sz w:val="24"/>
          <w:szCs w:val="24"/>
        </w:rPr>
      </w:pPr>
      <w:r>
        <w:rPr>
          <w:rFonts w:ascii="Arial" w:hAnsi="Arial" w:cs="Arial"/>
          <w:sz w:val="24"/>
          <w:szCs w:val="24"/>
        </w:rPr>
        <w:t xml:space="preserve">                  </w:t>
      </w:r>
    </w:p>
    <w:p w:rsidR="00095D78" w:rsidRDefault="00095D78" w:rsidP="00095D78">
      <w:pPr>
        <w:pStyle w:val="KeinLeerraum"/>
        <w:rPr>
          <w:rFonts w:ascii="Arial" w:hAnsi="Arial" w:cs="Arial"/>
          <w:sz w:val="24"/>
          <w:szCs w:val="24"/>
        </w:rPr>
      </w:pPr>
      <w:r>
        <w:rPr>
          <w:rFonts w:ascii="Arial" w:hAnsi="Arial" w:cs="Arial"/>
          <w:sz w:val="24"/>
          <w:szCs w:val="24"/>
        </w:rPr>
        <w:t>Meldungen:</w:t>
      </w:r>
      <w:r>
        <w:rPr>
          <w:rFonts w:ascii="Arial" w:hAnsi="Arial" w:cs="Arial"/>
          <w:sz w:val="24"/>
          <w:szCs w:val="24"/>
        </w:rPr>
        <w:tab/>
        <w:t xml:space="preserve">          bis 27.05.2019</w:t>
      </w:r>
    </w:p>
    <w:p w:rsidR="00095D78" w:rsidRPr="00095D78" w:rsidRDefault="00095D78" w:rsidP="00095D78">
      <w:pPr>
        <w:pStyle w:val="KeinLeerraum"/>
        <w:rPr>
          <w:rFonts w:ascii="Arial" w:hAnsi="Arial" w:cs="Arial"/>
          <w:b/>
          <w:sz w:val="24"/>
          <w:szCs w:val="24"/>
        </w:rPr>
      </w:pPr>
      <w:r>
        <w:rPr>
          <w:rFonts w:ascii="Arial" w:hAnsi="Arial" w:cs="Arial"/>
          <w:sz w:val="24"/>
          <w:szCs w:val="24"/>
        </w:rPr>
        <w:t xml:space="preserve">                               </w:t>
      </w:r>
      <w:r w:rsidRPr="00095D78">
        <w:rPr>
          <w:rFonts w:ascii="Arial" w:hAnsi="Arial" w:cs="Arial"/>
          <w:b/>
          <w:sz w:val="24"/>
          <w:szCs w:val="24"/>
        </w:rPr>
        <w:t>Jens.Riechers@schulaemter.brandenburg.de</w:t>
      </w:r>
    </w:p>
    <w:p w:rsidR="00095D78" w:rsidRDefault="00095D78" w:rsidP="00095D78">
      <w:pPr>
        <w:rPr>
          <w:rFonts w:ascii="Arial" w:hAnsi="Arial" w:cs="Arial"/>
          <w:sz w:val="24"/>
          <w:szCs w:val="24"/>
        </w:rPr>
      </w:pPr>
      <w:r>
        <w:rPr>
          <w:rFonts w:ascii="Arial" w:hAnsi="Arial" w:cs="Arial"/>
          <w:sz w:val="24"/>
          <w:szCs w:val="24"/>
        </w:rPr>
        <w:t xml:space="preserve">  </w:t>
      </w:r>
      <w:r>
        <w:t xml:space="preserve">  </w:t>
      </w:r>
    </w:p>
    <w:p w:rsidR="00095D78" w:rsidRDefault="00095D78" w:rsidP="00095D78">
      <w:pPr>
        <w:rPr>
          <w:rFonts w:ascii="Times New Roman" w:hAnsi="Times New Roman" w:cs="Times New Roman"/>
          <w:b/>
          <w:sz w:val="24"/>
          <w:szCs w:val="24"/>
        </w:rPr>
      </w:pPr>
      <w:r>
        <w:rPr>
          <w:rFonts w:ascii="Arial" w:hAnsi="Arial" w:cs="Arial"/>
          <w:b/>
          <w:sz w:val="24"/>
          <w:szCs w:val="24"/>
        </w:rPr>
        <w:t>Hinweise/Spielmodus:</w:t>
      </w:r>
      <w:r>
        <w:rPr>
          <w:rFonts w:ascii="Times New Roman" w:hAnsi="Times New Roman" w:cs="Times New Roman"/>
          <w:b/>
          <w:sz w:val="24"/>
          <w:szCs w:val="24"/>
        </w:rPr>
        <w:tab/>
      </w:r>
      <w:r w:rsidR="005D69BB">
        <w:rPr>
          <w:rFonts w:ascii="Times New Roman" w:hAnsi="Times New Roman" w:cs="Times New Roman"/>
          <w:b/>
          <w:sz w:val="24"/>
          <w:szCs w:val="24"/>
        </w:rPr>
        <w:t>siehe auch „Schulsport 2018/19“ S.35</w:t>
      </w:r>
    </w:p>
    <w:p w:rsidR="00095D78" w:rsidRDefault="00095D78" w:rsidP="00095D78">
      <w:pPr>
        <w:jc w:val="both"/>
        <w:rPr>
          <w:rFonts w:ascii="Arial" w:hAnsi="Arial" w:cs="Arial"/>
          <w:sz w:val="24"/>
          <w:szCs w:val="24"/>
        </w:rPr>
      </w:pPr>
      <w:r>
        <w:rPr>
          <w:rFonts w:ascii="Arial" w:hAnsi="Arial" w:cs="Arial"/>
          <w:sz w:val="24"/>
          <w:szCs w:val="24"/>
        </w:rPr>
        <w:t xml:space="preserve">Gespielt wird, soweit in dieser Ausschreibung nichts anderes festgelegt ist, nach den </w:t>
      </w:r>
      <w:r>
        <w:rPr>
          <w:rFonts w:ascii="Arial" w:hAnsi="Arial" w:cs="Arial"/>
          <w:i/>
          <w:sz w:val="24"/>
          <w:szCs w:val="24"/>
        </w:rPr>
        <w:t>aktuellen Regeln</w:t>
      </w:r>
      <w:r>
        <w:rPr>
          <w:rFonts w:ascii="Arial" w:hAnsi="Arial" w:cs="Arial"/>
          <w:sz w:val="24"/>
          <w:szCs w:val="24"/>
        </w:rPr>
        <w:t xml:space="preserve"> für Feldhockey des Deutschen Hockeybundes  bzw. dem aktuellen Regelkommentar für Kleinfeldhockey. Ergänzend gilt für den Bundeswettbewerb der Schulen JUGEND TRAINIERT FÜR OLYMPIA der aktuelle Regelkommentar für Kleinfeldhockey (</w:t>
      </w:r>
      <w:hyperlink r:id="rId8" w:history="1">
        <w:r>
          <w:rPr>
            <w:rStyle w:val="Hyperlink"/>
            <w:rFonts w:ascii="Arial" w:hAnsi="Arial" w:cs="Arial"/>
            <w:sz w:val="24"/>
            <w:szCs w:val="24"/>
          </w:rPr>
          <w:t>www.schulhockey.de</w:t>
        </w:r>
      </w:hyperlink>
      <w:r>
        <w:rPr>
          <w:rFonts w:ascii="Arial" w:hAnsi="Arial" w:cs="Arial"/>
          <w:sz w:val="24"/>
          <w:szCs w:val="24"/>
        </w:rPr>
        <w:t>). Die Regelwerke sind auch zu beziehen über den Deutschen Hockey-Bund e.V., Am Hockeypark 1, 41179 Mönchengladbach.</w:t>
      </w:r>
    </w:p>
    <w:p w:rsidR="00095D78" w:rsidRDefault="00095D78" w:rsidP="00095D78">
      <w:pPr>
        <w:jc w:val="both"/>
        <w:rPr>
          <w:rFonts w:ascii="Arial" w:hAnsi="Arial" w:cs="Arial"/>
          <w:sz w:val="24"/>
          <w:szCs w:val="24"/>
        </w:rPr>
      </w:pPr>
      <w:r>
        <w:rPr>
          <w:rFonts w:ascii="Arial" w:hAnsi="Arial" w:cs="Arial"/>
          <w:b/>
          <w:sz w:val="24"/>
          <w:szCs w:val="24"/>
        </w:rPr>
        <w:lastRenderedPageBreak/>
        <w:t>Mannschaftsstärke:</w:t>
      </w:r>
      <w:r>
        <w:rPr>
          <w:rFonts w:ascii="Arial" w:hAnsi="Arial" w:cs="Arial"/>
          <w:sz w:val="24"/>
          <w:szCs w:val="24"/>
        </w:rPr>
        <w:t xml:space="preserve"> Eine Mannschaft besteht aus maximal 9 Spielern bzw. Spielerinnen. Es wird mit 5 Feldspielern/innen und einem vollständig ausgerüsteten Torwart/Torfrau gespielt. Es gibt drei Auswechselspieler/innen.</w:t>
      </w:r>
    </w:p>
    <w:p w:rsidR="00095D78" w:rsidRDefault="00095D78" w:rsidP="00095D78">
      <w:pPr>
        <w:jc w:val="both"/>
        <w:rPr>
          <w:rFonts w:ascii="Arial" w:hAnsi="Arial" w:cs="Arial"/>
          <w:sz w:val="24"/>
          <w:szCs w:val="24"/>
        </w:rPr>
      </w:pPr>
      <w:r>
        <w:rPr>
          <w:rFonts w:ascii="Arial" w:hAnsi="Arial" w:cs="Arial"/>
          <w:b/>
          <w:sz w:val="24"/>
          <w:szCs w:val="24"/>
        </w:rPr>
        <w:t>Spielzeit/Wertungsmodus:</w:t>
      </w:r>
      <w:r>
        <w:rPr>
          <w:rFonts w:ascii="Arial" w:hAnsi="Arial" w:cs="Arial"/>
          <w:sz w:val="24"/>
          <w:szCs w:val="24"/>
        </w:rPr>
        <w:t xml:space="preserve"> </w:t>
      </w:r>
      <w:r w:rsidR="005D69BB">
        <w:rPr>
          <w:rFonts w:ascii="Arial" w:hAnsi="Arial" w:cs="Arial"/>
          <w:sz w:val="24"/>
          <w:szCs w:val="24"/>
        </w:rPr>
        <w:t xml:space="preserve">Bei Turnieren kann die </w:t>
      </w:r>
      <w:r>
        <w:rPr>
          <w:rFonts w:ascii="Arial" w:hAnsi="Arial" w:cs="Arial"/>
          <w:sz w:val="24"/>
          <w:szCs w:val="24"/>
        </w:rPr>
        <w:t xml:space="preserve">Spielzeit bis auf 2x10 Minuten reduziert werden. Die Halbzeitpause ist auf 5 Minuten festgelegt. Der Spielmodus wird nach Eingang der Meldungen zum Meldeschluss, spätestens am Wettkampftag bekannt gegeben. </w:t>
      </w:r>
    </w:p>
    <w:p w:rsidR="00095D78" w:rsidRDefault="00095D78" w:rsidP="00095D78">
      <w:pPr>
        <w:jc w:val="both"/>
        <w:rPr>
          <w:rFonts w:ascii="Arial" w:hAnsi="Arial" w:cs="Arial"/>
          <w:sz w:val="24"/>
          <w:szCs w:val="24"/>
        </w:rPr>
      </w:pPr>
      <w:r>
        <w:rPr>
          <w:rFonts w:ascii="Arial" w:hAnsi="Arial" w:cs="Arial"/>
          <w:sz w:val="24"/>
          <w:szCs w:val="24"/>
        </w:rPr>
        <w:t>Für die Ermittlung der Rangfolge nach Abschluss der Gruppenspiele gelten folgende Kriterien in nachstehender Reihenfolge:</w:t>
      </w:r>
    </w:p>
    <w:p w:rsidR="00095D78" w:rsidRDefault="00095D78" w:rsidP="00095D78">
      <w:pPr>
        <w:pStyle w:val="Listenabsatz"/>
        <w:numPr>
          <w:ilvl w:val="0"/>
          <w:numId w:val="1"/>
        </w:numPr>
        <w:jc w:val="both"/>
        <w:rPr>
          <w:rFonts w:ascii="Arial" w:hAnsi="Arial" w:cs="Arial"/>
          <w:sz w:val="24"/>
          <w:szCs w:val="24"/>
        </w:rPr>
      </w:pPr>
      <w:r>
        <w:rPr>
          <w:rFonts w:ascii="Arial" w:hAnsi="Arial" w:cs="Arial"/>
          <w:sz w:val="24"/>
          <w:szCs w:val="24"/>
        </w:rPr>
        <w:t>Punkte</w:t>
      </w:r>
    </w:p>
    <w:p w:rsidR="00095D78" w:rsidRDefault="00095D78" w:rsidP="00095D78">
      <w:pPr>
        <w:pStyle w:val="Listenabsatz"/>
        <w:numPr>
          <w:ilvl w:val="0"/>
          <w:numId w:val="1"/>
        </w:numPr>
        <w:jc w:val="both"/>
        <w:rPr>
          <w:rFonts w:ascii="Arial" w:hAnsi="Arial" w:cs="Arial"/>
          <w:sz w:val="24"/>
          <w:szCs w:val="24"/>
        </w:rPr>
      </w:pPr>
      <w:r>
        <w:rPr>
          <w:rFonts w:ascii="Arial" w:hAnsi="Arial" w:cs="Arial"/>
          <w:sz w:val="24"/>
          <w:szCs w:val="24"/>
        </w:rPr>
        <w:t>Tordifferenz</w:t>
      </w:r>
    </w:p>
    <w:p w:rsidR="00095D78" w:rsidRDefault="00095D78" w:rsidP="00095D78">
      <w:pPr>
        <w:pStyle w:val="Listenabsatz"/>
        <w:numPr>
          <w:ilvl w:val="0"/>
          <w:numId w:val="1"/>
        </w:numPr>
        <w:jc w:val="both"/>
        <w:rPr>
          <w:rFonts w:ascii="Arial" w:hAnsi="Arial" w:cs="Arial"/>
          <w:sz w:val="24"/>
          <w:szCs w:val="24"/>
        </w:rPr>
      </w:pPr>
      <w:r>
        <w:rPr>
          <w:rFonts w:ascii="Arial" w:hAnsi="Arial" w:cs="Arial"/>
          <w:sz w:val="24"/>
          <w:szCs w:val="24"/>
        </w:rPr>
        <w:t>Höhere Anzahl der erzielten Tore</w:t>
      </w:r>
    </w:p>
    <w:p w:rsidR="00095D78" w:rsidRDefault="00095D78" w:rsidP="00095D78">
      <w:pPr>
        <w:pStyle w:val="Listenabsatz"/>
        <w:numPr>
          <w:ilvl w:val="0"/>
          <w:numId w:val="1"/>
        </w:numPr>
        <w:jc w:val="both"/>
        <w:rPr>
          <w:rFonts w:ascii="Arial" w:hAnsi="Arial" w:cs="Arial"/>
          <w:sz w:val="24"/>
          <w:szCs w:val="24"/>
        </w:rPr>
      </w:pPr>
      <w:r>
        <w:rPr>
          <w:rFonts w:ascii="Arial" w:hAnsi="Arial" w:cs="Arial"/>
          <w:sz w:val="24"/>
          <w:szCs w:val="24"/>
        </w:rPr>
        <w:t>Direktvergleich der punkt- und torgleichen Mannschaften</w:t>
      </w:r>
    </w:p>
    <w:p w:rsidR="00095D78" w:rsidRDefault="00095D78" w:rsidP="00095D78">
      <w:pPr>
        <w:pStyle w:val="Listenabsatz"/>
        <w:numPr>
          <w:ilvl w:val="0"/>
          <w:numId w:val="1"/>
        </w:numPr>
        <w:jc w:val="both"/>
        <w:rPr>
          <w:rFonts w:ascii="Arial" w:hAnsi="Arial" w:cs="Arial"/>
          <w:sz w:val="24"/>
          <w:szCs w:val="24"/>
        </w:rPr>
      </w:pPr>
      <w:r>
        <w:rPr>
          <w:rFonts w:ascii="Arial" w:hAnsi="Arial" w:cs="Arial"/>
          <w:sz w:val="24"/>
          <w:szCs w:val="24"/>
        </w:rPr>
        <w:t>Siebenmeterschießen ( 5 Spieler/innen jeder Mannschaft).</w:t>
      </w:r>
    </w:p>
    <w:p w:rsidR="00095D78" w:rsidRDefault="00095D78" w:rsidP="00095D78">
      <w:pPr>
        <w:jc w:val="both"/>
        <w:rPr>
          <w:rFonts w:ascii="Arial" w:hAnsi="Arial" w:cs="Arial"/>
          <w:sz w:val="24"/>
          <w:szCs w:val="24"/>
        </w:rPr>
      </w:pPr>
      <w:r>
        <w:rPr>
          <w:rFonts w:ascii="Arial" w:hAnsi="Arial" w:cs="Arial"/>
          <w:sz w:val="24"/>
          <w:szCs w:val="24"/>
        </w:rPr>
        <w:t>Bei Entscheidungsspielen/Endspielen mit unentschiedenem Ausgang wird die Spielzeit um 2x5 Minuten verlängert. Fällt dabei keine Entscheidung, wird die Siegermannschaft durch ein Siebenmeterschießen (5 Spieler/Spielerinnen jeder Mannschaft) ermittelt; ist der Spielstand dann immer noch unentschieden, erfolgt ein Siebenmeterschießen paarweise bis zur Entscheidung.</w:t>
      </w:r>
    </w:p>
    <w:p w:rsidR="00095D78" w:rsidRDefault="00095D78" w:rsidP="00095D78">
      <w:pPr>
        <w:widowControl w:val="0"/>
        <w:tabs>
          <w:tab w:val="left" w:pos="2100"/>
        </w:tabs>
        <w:spacing w:after="0" w:line="240" w:lineRule="auto"/>
        <w:jc w:val="both"/>
        <w:rPr>
          <w:rFonts w:ascii="Arial" w:hAnsi="Arial" w:cs="Arial"/>
          <w:sz w:val="24"/>
          <w:szCs w:val="24"/>
        </w:rPr>
      </w:pPr>
      <w:r>
        <w:rPr>
          <w:rFonts w:ascii="Arial" w:hAnsi="Arial" w:cs="Arial"/>
          <w:b/>
          <w:sz w:val="24"/>
          <w:szCs w:val="24"/>
        </w:rPr>
        <w:t>Strafen:</w:t>
      </w:r>
      <w:r>
        <w:rPr>
          <w:rFonts w:ascii="Arial" w:hAnsi="Arial" w:cs="Arial"/>
          <w:sz w:val="24"/>
          <w:szCs w:val="24"/>
        </w:rPr>
        <w:t xml:space="preserve"> Ein Spieler/in kann verwarnt, mit einer Zeitstrafe von 2 – 5 Minuten belegt oder auf Dauer vom Spiel ausgeschlossen werden. Die zweite Zeitstrafe innerhalb eines Spieles für den gleichen Spieler/in bedeutet den Ausschluss für die Dauer des Spiels. Spielstrafen auf Dauer ziehen eine automatische Sperre für das nächste Spiel nach sich, sofern das Schiedsgericht keine höhere Strafe verhängt. Jede zweite Zeitstrafe bzw. Hinausstellung auf Dauer zieht den Ausschluss vom Turnier nach sich</w:t>
      </w:r>
    </w:p>
    <w:p w:rsidR="00095D78" w:rsidRDefault="00095D78" w:rsidP="00095D78">
      <w:pPr>
        <w:jc w:val="both"/>
        <w:rPr>
          <w:rFonts w:ascii="Arial" w:hAnsi="Arial" w:cs="Arial"/>
          <w:sz w:val="24"/>
          <w:szCs w:val="24"/>
        </w:rPr>
      </w:pPr>
    </w:p>
    <w:p w:rsidR="00095D78" w:rsidRDefault="00095D78" w:rsidP="00095D78">
      <w:pPr>
        <w:jc w:val="both"/>
        <w:rPr>
          <w:rFonts w:ascii="Arial" w:hAnsi="Arial" w:cs="Arial"/>
          <w:b/>
          <w:sz w:val="24"/>
          <w:szCs w:val="24"/>
        </w:rPr>
      </w:pPr>
      <w:r>
        <w:rPr>
          <w:rFonts w:ascii="Arial" w:hAnsi="Arial" w:cs="Arial"/>
          <w:b/>
          <w:sz w:val="24"/>
          <w:szCs w:val="24"/>
        </w:rPr>
        <w:t>Jede Mannschaft wird mindestens von einem Sportlehrer/in begleitet und bringt einen Schiedsrichter mit (möglichst einen Jugendlichen zwischen 14 und 18 Jahren)</w:t>
      </w:r>
    </w:p>
    <w:p w:rsidR="005D69BB" w:rsidRDefault="005D69BB" w:rsidP="00095D78">
      <w:pPr>
        <w:jc w:val="both"/>
        <w:rPr>
          <w:rFonts w:ascii="Arial" w:hAnsi="Arial" w:cs="Arial"/>
          <w:b/>
          <w:sz w:val="24"/>
          <w:szCs w:val="24"/>
        </w:rPr>
      </w:pPr>
    </w:p>
    <w:p w:rsidR="005D69BB" w:rsidRPr="005D69BB" w:rsidRDefault="005D69BB" w:rsidP="005D69BB">
      <w:pPr>
        <w:pStyle w:val="KeinLeerraum"/>
        <w:rPr>
          <w:sz w:val="28"/>
          <w:szCs w:val="28"/>
        </w:rPr>
      </w:pPr>
      <w:r w:rsidRPr="005D69BB">
        <w:rPr>
          <w:sz w:val="28"/>
          <w:szCs w:val="28"/>
        </w:rPr>
        <w:t>Potsdam,29.11.18</w:t>
      </w:r>
    </w:p>
    <w:p w:rsidR="005D69BB" w:rsidRPr="005D69BB" w:rsidRDefault="005D69BB" w:rsidP="005D69BB">
      <w:pPr>
        <w:pStyle w:val="KeinLeerraum"/>
        <w:rPr>
          <w:sz w:val="28"/>
          <w:szCs w:val="28"/>
        </w:rPr>
      </w:pPr>
      <w:proofErr w:type="spellStart"/>
      <w:r w:rsidRPr="005D69BB">
        <w:rPr>
          <w:sz w:val="28"/>
          <w:szCs w:val="28"/>
        </w:rPr>
        <w:t>J.Riechers</w:t>
      </w:r>
      <w:proofErr w:type="spellEnd"/>
    </w:p>
    <w:p w:rsidR="005D69BB" w:rsidRPr="005D69BB" w:rsidRDefault="005D69BB" w:rsidP="005D69BB">
      <w:pPr>
        <w:pStyle w:val="KeinLeerraum"/>
        <w:rPr>
          <w:sz w:val="28"/>
          <w:szCs w:val="28"/>
        </w:rPr>
      </w:pPr>
      <w:r w:rsidRPr="005D69BB">
        <w:rPr>
          <w:sz w:val="28"/>
          <w:szCs w:val="28"/>
        </w:rPr>
        <w:t>Schulsportberater Potsdam</w:t>
      </w:r>
    </w:p>
    <w:tbl>
      <w:tblPr>
        <w:tblW w:w="9868" w:type="dxa"/>
        <w:tblLook w:val="04A0"/>
      </w:tblPr>
      <w:tblGrid>
        <w:gridCol w:w="9868"/>
      </w:tblGrid>
      <w:tr w:rsidR="00095D78" w:rsidTr="00095D78">
        <w:tc>
          <w:tcPr>
            <w:tcW w:w="9868" w:type="dxa"/>
            <w:hideMark/>
          </w:tcPr>
          <w:p w:rsidR="00095D78" w:rsidRDefault="00095D78">
            <w:pPr>
              <w:spacing w:after="0" w:line="240" w:lineRule="auto"/>
              <w:rPr>
                <w:rFonts w:ascii="Times New Roman" w:hAnsi="Times New Roman" w:cs="Times New Roman"/>
                <w:sz w:val="24"/>
                <w:szCs w:val="24"/>
              </w:rPr>
            </w:pPr>
            <w:r>
              <w:t xml:space="preserve">   </w:t>
            </w:r>
          </w:p>
        </w:tc>
      </w:tr>
    </w:tbl>
    <w:p w:rsidR="005E7312" w:rsidRDefault="005E7312"/>
    <w:sectPr w:rsidR="005E7312" w:rsidSect="005E731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59172"/>
    <w:multiLevelType w:val="multilevel"/>
    <w:tmpl w:val="55659172"/>
    <w:name w:val="Nummerierungsliste 1"/>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5D78"/>
    <w:rsid w:val="00095D78"/>
    <w:rsid w:val="00307016"/>
    <w:rsid w:val="003B20C2"/>
    <w:rsid w:val="005D69BB"/>
    <w:rsid w:val="005E7312"/>
    <w:rsid w:val="008F2B33"/>
    <w:rsid w:val="00DB3904"/>
    <w:rsid w:val="00E94F48"/>
    <w:rsid w:val="00F70AB3"/>
    <w:rsid w:val="00F96F7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5D78"/>
    <w:rPr>
      <w:rFonts w:ascii="Calibri" w:eastAsia="Times New Roman" w:hAnsi="Calibri" w:cs="Calibri"/>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unhideWhenUsed/>
    <w:rsid w:val="00095D78"/>
    <w:rPr>
      <w:color w:val="0000FF"/>
      <w:u w:val="single"/>
    </w:rPr>
  </w:style>
  <w:style w:type="paragraph" w:styleId="KeinLeerraum">
    <w:name w:val="No Spacing"/>
    <w:qFormat/>
    <w:rsid w:val="00095D78"/>
    <w:pPr>
      <w:spacing w:after="0" w:line="240" w:lineRule="auto"/>
    </w:pPr>
    <w:rPr>
      <w:rFonts w:ascii="Calibri" w:eastAsia="Times New Roman" w:hAnsi="Calibri" w:cs="Calibri"/>
      <w:color w:val="000000"/>
      <w:lang w:eastAsia="de-DE"/>
    </w:rPr>
  </w:style>
  <w:style w:type="paragraph" w:styleId="Listenabsatz">
    <w:name w:val="List Paragraph"/>
    <w:basedOn w:val="Standard"/>
    <w:qFormat/>
    <w:rsid w:val="00095D78"/>
    <w:pPr>
      <w:ind w:left="720"/>
    </w:pPr>
    <w:rPr>
      <w:rFonts w:eastAsia="Calibri" w:cs="Times New Roman"/>
    </w:rPr>
  </w:style>
  <w:style w:type="paragraph" w:styleId="Sprechblasentext">
    <w:name w:val="Balloon Text"/>
    <w:basedOn w:val="Standard"/>
    <w:link w:val="SprechblasentextZchn"/>
    <w:uiPriority w:val="99"/>
    <w:semiHidden/>
    <w:unhideWhenUsed/>
    <w:rsid w:val="00095D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5D78"/>
    <w:rPr>
      <w:rFonts w:ascii="Tahoma" w:eastAsia="Times New Roman" w:hAnsi="Tahoma" w:cs="Tahoma"/>
      <w:color w:val="000000"/>
      <w:sz w:val="16"/>
      <w:szCs w:val="16"/>
      <w:lang w:eastAsia="de-DE"/>
    </w:rPr>
  </w:style>
</w:styles>
</file>

<file path=word/webSettings.xml><?xml version="1.0" encoding="utf-8"?>
<w:webSettings xmlns:r="http://schemas.openxmlformats.org/officeDocument/2006/relationships" xmlns:w="http://schemas.openxmlformats.org/wordprocessingml/2006/main">
  <w:divs>
    <w:div w:id="122586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lhockey.de/"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3175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dc:creator>
  <cp:lastModifiedBy>DT</cp:lastModifiedBy>
  <cp:revision>2</cp:revision>
  <dcterms:created xsi:type="dcterms:W3CDTF">2018-11-29T12:08:00Z</dcterms:created>
  <dcterms:modified xsi:type="dcterms:W3CDTF">2018-11-29T12:24:00Z</dcterms:modified>
</cp:coreProperties>
</file>