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3526"/>
        <w:gridCol w:w="3969"/>
      </w:tblGrid>
      <w:tr w:rsidR="00D17F32" w:rsidRPr="00D17F32" w:rsidTr="0056722C">
        <w:trPr>
          <w:cnfStyle w:val="100000000000"/>
          <w:trHeight w:val="330"/>
          <w:tblHeader/>
        </w:trPr>
        <w:tc>
          <w:tcPr>
            <w:tcW w:w="9493" w:type="dxa"/>
            <w:gridSpan w:val="3"/>
            <w:shd w:val="clear" w:color="auto" w:fill="E8E8E8"/>
          </w:tcPr>
          <w:p w:rsidR="00D17F32" w:rsidRPr="00D17F32" w:rsidRDefault="00D17F32" w:rsidP="00D17F32">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5396534</wp:posOffset>
                  </wp:positionH>
                  <wp:positionV relativeFrom="paragraph">
                    <wp:posOffset>-64770</wp:posOffset>
                  </wp:positionV>
                  <wp:extent cx="466311" cy="469127"/>
                  <wp:effectExtent l="0" t="0" r="0" b="7620"/>
                  <wp:wrapNone/>
                  <wp:docPr id="70" name="Bild 1" descr="J:\Arbeit\Während Corona entstanden\11_BNE\HR BNE\SDG-Logos_DE_Non-UN_2018\SDG Logos_DE_Non UN_2018\SDG_Icons_German\SDG_icons_German_JPEG\SDG-icon-D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srcRect/>
                          <a:stretch>
                            <a:fillRect/>
                          </a:stretch>
                        </pic:blipFill>
                        <pic:spPr bwMode="auto">
                          <a:xfrm>
                            <a:off x="0" y="0"/>
                            <a:ext cx="466311" cy="469127"/>
                          </a:xfrm>
                          <a:prstGeom prst="rect">
                            <a:avLst/>
                          </a:prstGeom>
                          <a:noFill/>
                          <a:ln w="9525">
                            <a:noFill/>
                            <a:miter lim="800000"/>
                            <a:headEnd/>
                            <a:tailEnd/>
                          </a:ln>
                        </pic:spPr>
                      </pic:pic>
                    </a:graphicData>
                  </a:graphic>
                </wp:anchor>
              </w:drawing>
            </w:r>
            <w:r w:rsidRPr="00D17F32">
              <w:rPr>
                <w:rFonts w:ascii="Arial" w:eastAsia="Cambria" w:hAnsi="Arial"/>
                <w:color w:val="141215"/>
                <w:lang w:val="de-DE" w:eastAsia="en-US"/>
              </w:rPr>
              <w:t>Planspiel Stress in der Nahrungskette</w:t>
            </w:r>
          </w:p>
          <w:p w:rsidR="00D17F32" w:rsidRPr="00D17F32" w:rsidRDefault="00D17F32" w:rsidP="00D17F32">
            <w:pPr>
              <w:widowControl/>
              <w:tabs>
                <w:tab w:val="left" w:pos="1467"/>
              </w:tabs>
              <w:autoSpaceDE/>
              <w:autoSpaceDN/>
              <w:spacing w:after="160" w:line="276" w:lineRule="auto"/>
              <w:ind w:right="26"/>
              <w:contextualSpacing/>
              <w:rPr>
                <w:rFonts w:ascii="Arial" w:eastAsia="Cambria" w:hAnsi="Arial" w:cs="Times New Roman"/>
                <w:lang w:val="de-DE" w:eastAsia="en-US"/>
              </w:rPr>
            </w:pPr>
            <w:r w:rsidRPr="00D17F32">
              <w:rPr>
                <w:rFonts w:ascii="Arial" w:eastAsia="Cambria" w:hAnsi="Arial" w:cs="Times New Roman"/>
                <w:lang w:val="de-DE" w:eastAsia="en-US"/>
              </w:rPr>
              <w:t xml:space="preserve"> </w:t>
            </w:r>
          </w:p>
        </w:tc>
      </w:tr>
      <w:tr w:rsidR="0056722C" w:rsidRPr="00D17F32"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Das Planspiel soll es den Schülerinnen und Schülern ermöglichen, die Interessen und Handlungsspielräume verschiedener Akteurinnen und Akteure in den Bereichen öffentliche Gesundheit und Nachhaltigkeit nachzuvollziehen.</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gridSpan w:val="2"/>
          </w:tcPr>
          <w:p w:rsidR="00D17F32" w:rsidRPr="00D17F32" w:rsidRDefault="00D17F32" w:rsidP="0056722C">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9</w:t>
            </w:r>
            <w:r w:rsidR="0056722C">
              <w:rPr>
                <w:rFonts w:ascii="Arial" w:eastAsia="Cambria" w:hAnsi="Arial" w:cs="Times New Roman"/>
                <w:sz w:val="19"/>
                <w:szCs w:val="19"/>
                <w:lang w:val="de-DE" w:eastAsia="en-US"/>
              </w:rPr>
              <w:t>-</w:t>
            </w:r>
            <w:r w:rsidRPr="00D17F32">
              <w:rPr>
                <w:rFonts w:ascii="Arial" w:eastAsia="Cambria" w:hAnsi="Arial" w:cs="Times New Roman"/>
                <w:color w:val="000000"/>
                <w:sz w:val="19"/>
                <w:szCs w:val="19"/>
                <w:lang w:val="de-DE" w:eastAsia="en-US"/>
              </w:rPr>
              <w:t>10</w:t>
            </w:r>
          </w:p>
        </w:tc>
      </w:tr>
      <w:tr w:rsidR="0056722C" w:rsidRPr="00D17F32"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gridSpan w:val="2"/>
          </w:tcPr>
          <w:p w:rsidR="00D17F32" w:rsidRPr="00D17F32" w:rsidRDefault="0056722C"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Vier</w:t>
            </w:r>
            <w:r w:rsidR="00D17F32" w:rsidRPr="00D17F32">
              <w:rPr>
                <w:rFonts w:ascii="Arial" w:eastAsia="Cambria" w:hAnsi="Arial" w:cs="Times New Roman"/>
                <w:color w:val="000000"/>
                <w:sz w:val="19"/>
                <w:szCs w:val="19"/>
                <w:lang w:val="de-DE" w:eastAsia="en-US"/>
              </w:rPr>
              <w:t xml:space="preserve"> Schulstunden inklusive der thematischen Einführung: Diese kann auch an einem anderen Tag stattfinden.</w:t>
            </w:r>
          </w:p>
        </w:tc>
      </w:tr>
      <w:tr w:rsidR="0056722C" w:rsidRPr="00D17F32" w:rsidTr="0056722C">
        <w:trPr>
          <w:trHeight w:val="802"/>
        </w:trPr>
        <w:tc>
          <w:tcPr>
            <w:tcW w:w="1998" w:type="dxa"/>
            <w:vMerge w:val="restart"/>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Konkreter Fächerbezug</w:t>
            </w:r>
          </w:p>
        </w:tc>
        <w:tc>
          <w:tcPr>
            <w:tcW w:w="3526"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Biologie 7</w:t>
            </w:r>
            <w:r w:rsidR="0056722C">
              <w:rPr>
                <w:rFonts w:ascii="Arial" w:eastAsia="Cambria" w:hAnsi="Arial" w:cs="Times New Roman"/>
                <w:sz w:val="19"/>
                <w:szCs w:val="19"/>
                <w:lang w:val="de-DE" w:eastAsia="en-US"/>
              </w:rPr>
              <w:t>-</w:t>
            </w:r>
            <w:r w:rsidRPr="00D17F32">
              <w:rPr>
                <w:rFonts w:ascii="Arial" w:eastAsia="Cambria" w:hAnsi="Arial" w:cs="Times New Roman"/>
                <w:b/>
                <w:color w:val="000000"/>
                <w:sz w:val="19"/>
                <w:szCs w:val="19"/>
                <w:lang w:val="de-DE" w:eastAsia="en-US"/>
              </w:rPr>
              <w:t>10</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3.3 Stoffwechsel des Menschen, Fast Food – Slow Food – Whole Food</w:t>
            </w:r>
          </w:p>
        </w:tc>
        <w:tc>
          <w:tcPr>
            <w:tcW w:w="3969"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Ethik 7</w:t>
            </w:r>
            <w:r w:rsidR="0056722C">
              <w:rPr>
                <w:rFonts w:ascii="Arial" w:eastAsia="Cambria" w:hAnsi="Arial" w:cs="Times New Roman"/>
                <w:sz w:val="19"/>
                <w:szCs w:val="19"/>
                <w:lang w:val="de-DE" w:eastAsia="en-US"/>
              </w:rPr>
              <w:t>-</w:t>
            </w:r>
            <w:r w:rsidRPr="00D17F32">
              <w:rPr>
                <w:rFonts w:ascii="Arial" w:eastAsia="Cambria" w:hAnsi="Arial" w:cs="Times New Roman"/>
                <w:b/>
                <w:color w:val="000000"/>
                <w:sz w:val="19"/>
                <w:szCs w:val="19"/>
                <w:lang w:val="de-DE" w:eastAsia="en-US"/>
              </w:rPr>
              <w:t>10</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3.5 Was soll ich tun? – Handeln und Moral</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p>
        </w:tc>
      </w:tr>
      <w:tr w:rsidR="0056722C" w:rsidRPr="00D17F32" w:rsidTr="0056722C">
        <w:trPr>
          <w:trHeight w:val="80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3526" w:type="dxa"/>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Geografie 9/10</w:t>
            </w:r>
          </w:p>
          <w:p w:rsidR="00D17F32" w:rsidRPr="00D17F32" w:rsidRDefault="00D17F32" w:rsidP="00D17F32">
            <w:pPr>
              <w:widowControl/>
              <w:autoSpaceDE/>
              <w:autoSpaceDN/>
              <w:spacing w:after="160" w:line="260" w:lineRule="atLeast"/>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3.7 Wirtschaftliche Verflechtungen und Globalisieru</w:t>
            </w:r>
            <w:bookmarkStart w:id="0" w:name="_GoBack"/>
            <w:bookmarkEnd w:id="0"/>
            <w:r w:rsidRPr="00D17F32">
              <w:rPr>
                <w:rFonts w:ascii="Arial" w:eastAsia="Cambria" w:hAnsi="Arial" w:cs="Times New Roman"/>
                <w:color w:val="000000"/>
                <w:sz w:val="19"/>
                <w:szCs w:val="19"/>
                <w:lang w:val="de-DE" w:eastAsia="en-US"/>
              </w:rPr>
              <w:t>ng</w:t>
            </w:r>
          </w:p>
        </w:tc>
        <w:tc>
          <w:tcPr>
            <w:tcW w:w="3969"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Wirtschaft-Arbeit-Technik 9/10</w:t>
            </w:r>
          </w:p>
          <w:p w:rsidR="00D17F32" w:rsidRPr="00D17F32" w:rsidRDefault="00D17F32" w:rsidP="00D17F32">
            <w:pPr>
              <w:widowControl/>
              <w:autoSpaceDE/>
              <w:autoSpaceDN/>
              <w:spacing w:after="160" w:line="260" w:lineRule="atLeast"/>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 xml:space="preserve">3.9 Ernährung und Konsum aus regionaler und globaler Sicht </w:t>
            </w:r>
          </w:p>
        </w:tc>
      </w:tr>
      <w:tr w:rsidR="0056722C" w:rsidRPr="00D17F32" w:rsidTr="0056722C">
        <w:trPr>
          <w:trHeight w:val="587"/>
        </w:trPr>
        <w:tc>
          <w:tcPr>
            <w:tcW w:w="1998" w:type="dxa"/>
            <w:vMerge w:val="restart"/>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 xml:space="preserve">Fachkompetenzen aus dem </w:t>
            </w:r>
            <w:r w:rsidRPr="00D17F32">
              <w:rPr>
                <w:rFonts w:ascii="Arial" w:eastAsia="Cambria" w:hAnsi="Arial" w:cs="Times New Roman"/>
                <w:b/>
                <w:bCs/>
                <w:sz w:val="19"/>
                <w:szCs w:val="19"/>
                <w:lang w:val="de-DE" w:eastAsia="en-US"/>
              </w:rPr>
              <w:t>Rahmenlehrplan 1–10 Berlin-Brandenburg</w:t>
            </w:r>
            <w:r w:rsidRPr="00D17F32">
              <w:rPr>
                <w:rFonts w:ascii="Arial" w:eastAsia="Cambria" w:hAnsi="Arial" w:cs="Times New Roman"/>
                <w:b/>
                <w:bCs/>
                <w:color w:val="141313"/>
                <w:sz w:val="19"/>
                <w:szCs w:val="19"/>
                <w:lang w:val="de-DE" w:eastAsia="en-US"/>
              </w:rPr>
              <w:t>, Teil C</w:t>
            </w:r>
          </w:p>
        </w:tc>
        <w:tc>
          <w:tcPr>
            <w:tcW w:w="3526"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Biologie 7</w:t>
            </w:r>
            <w:r w:rsidR="0056722C">
              <w:rPr>
                <w:rFonts w:ascii="Arial" w:eastAsia="Cambria" w:hAnsi="Arial" w:cs="Times New Roman"/>
                <w:sz w:val="19"/>
                <w:szCs w:val="19"/>
                <w:lang w:val="de-DE" w:eastAsia="en-US"/>
              </w:rPr>
              <w:t>-</w:t>
            </w:r>
            <w:r w:rsidRPr="00D17F32">
              <w:rPr>
                <w:rFonts w:ascii="Arial" w:eastAsia="Cambria" w:hAnsi="Arial" w:cs="Times New Roman"/>
                <w:b/>
                <w:color w:val="000000"/>
                <w:sz w:val="19"/>
                <w:szCs w:val="19"/>
                <w:lang w:val="de-DE" w:eastAsia="en-US"/>
              </w:rPr>
              <w:t>10</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Kommunizieren, Bewerten</w:t>
            </w:r>
          </w:p>
        </w:tc>
        <w:tc>
          <w:tcPr>
            <w:tcW w:w="3969"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Ethik 7</w:t>
            </w:r>
            <w:r w:rsidR="0056722C">
              <w:rPr>
                <w:rFonts w:ascii="Arial" w:eastAsia="Cambria" w:hAnsi="Arial" w:cs="Times New Roman"/>
                <w:sz w:val="19"/>
                <w:szCs w:val="19"/>
                <w:lang w:val="de-DE" w:eastAsia="en-US"/>
              </w:rPr>
              <w:t>-</w:t>
            </w:r>
            <w:r w:rsidRPr="00D17F32">
              <w:rPr>
                <w:rFonts w:ascii="Arial" w:eastAsia="Cambria" w:hAnsi="Arial" w:cs="Times New Roman"/>
                <w:b/>
                <w:color w:val="000000"/>
                <w:sz w:val="19"/>
                <w:szCs w:val="19"/>
                <w:lang w:val="de-DE" w:eastAsia="en-US"/>
              </w:rPr>
              <w:t>10</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Perspektiven einnehmen, sich im Dialog verständigen</w:t>
            </w:r>
          </w:p>
        </w:tc>
      </w:tr>
      <w:tr w:rsidR="0056722C" w:rsidRPr="00D17F32" w:rsidTr="0056722C">
        <w:trPr>
          <w:trHeight w:val="587"/>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3526"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Geografie 9/10</w:t>
            </w:r>
          </w:p>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Kommunizieren, Urteilen</w:t>
            </w:r>
          </w:p>
        </w:tc>
        <w:tc>
          <w:tcPr>
            <w:tcW w:w="3969" w:type="dxa"/>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b/>
                <w:color w:val="000000"/>
                <w:sz w:val="19"/>
                <w:szCs w:val="19"/>
                <w:lang w:val="de-DE" w:eastAsia="en-US"/>
              </w:rPr>
              <w:t>Wirtschaft-Arbeit-Technik 9/10</w:t>
            </w:r>
          </w:p>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 xml:space="preserve">Kommunizieren, Bewerten und Entscheiden </w:t>
            </w:r>
          </w:p>
        </w:tc>
      </w:tr>
      <w:tr w:rsidR="0056722C" w:rsidRPr="00D17F32" w:rsidTr="0056722C">
        <w:trPr>
          <w:trHeight w:val="692"/>
        </w:trPr>
        <w:tc>
          <w:tcPr>
            <w:tcW w:w="1998" w:type="dxa"/>
            <w:vMerge w:val="restart"/>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Erkennen</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Informationsbeschaffung und –verarbeitung</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Unterscheidung gesellschaftlicher Handlungsebenen</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Bewerten</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Perspektivenwechsel und Empathie</w:t>
            </w:r>
          </w:p>
          <w:p w:rsidR="00D17F32" w:rsidRPr="0056722C"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Kritische Reflexion und Stellungnahme</w:t>
            </w:r>
          </w:p>
        </w:tc>
      </w:tr>
      <w:tr w:rsidR="0056722C" w:rsidRPr="00D17F32" w:rsidTr="0056722C">
        <w:trPr>
          <w:trHeight w:val="692"/>
        </w:trPr>
        <w:tc>
          <w:tcPr>
            <w:tcW w:w="1998" w:type="dxa"/>
            <w:vMerge/>
          </w:tcPr>
          <w:p w:rsidR="00D17F32" w:rsidRPr="00D17F32" w:rsidRDefault="00D17F32" w:rsidP="0056722C">
            <w:pPr>
              <w:widowControl/>
              <w:autoSpaceDE/>
              <w:autoSpaceDN/>
              <w:spacing w:after="160" w:line="276" w:lineRule="auto"/>
              <w:contextualSpacing/>
              <w:rPr>
                <w:rFonts w:ascii="Arial" w:eastAsia="Cambria" w:hAnsi="Arial" w:cs="Times New Roman"/>
                <w:color w:val="141313"/>
                <w:sz w:val="19"/>
                <w:szCs w:val="19"/>
                <w:lang w:val="de-DE" w:eastAsia="en-US"/>
              </w:rPr>
            </w:pPr>
          </w:p>
        </w:tc>
        <w:tc>
          <w:tcPr>
            <w:tcW w:w="7495" w:type="dxa"/>
            <w:gridSpan w:val="2"/>
          </w:tcPr>
          <w:p w:rsidR="00D17F32" w:rsidRPr="00D17F32" w:rsidRDefault="00D17F32" w:rsidP="00D17F32">
            <w:pPr>
              <w:widowControl/>
              <w:autoSpaceDE/>
              <w:autoSpaceDN/>
              <w:spacing w:after="160" w:line="260" w:lineRule="atLeast"/>
              <w:contextualSpacing/>
              <w:jc w:val="both"/>
              <w:rPr>
                <w:rFonts w:ascii="Arial" w:eastAsia="Cambria" w:hAnsi="Arial" w:cs="Times New Roman"/>
                <w:b/>
                <w:color w:val="000000"/>
                <w:sz w:val="19"/>
                <w:szCs w:val="19"/>
                <w:lang w:val="de-DE" w:eastAsia="en-US"/>
              </w:rPr>
            </w:pPr>
            <w:r w:rsidRPr="00D17F32">
              <w:rPr>
                <w:rFonts w:ascii="Arial" w:eastAsia="Cambria" w:hAnsi="Arial" w:cs="Times New Roman"/>
                <w:b/>
                <w:color w:val="000000"/>
                <w:sz w:val="19"/>
                <w:szCs w:val="19"/>
                <w:lang w:val="de-DE" w:eastAsia="en-US"/>
              </w:rPr>
              <w:t>Kompetenzbereich Handeln</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Solidarität und Mitverantwortung</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Handlungsfähigkeit im globalen Wandel</w:t>
            </w:r>
          </w:p>
          <w:p w:rsidR="00D17F32" w:rsidRPr="00D17F32" w:rsidRDefault="00D17F32" w:rsidP="00D17F32">
            <w:pPr>
              <w:widowControl/>
              <w:numPr>
                <w:ilvl w:val="0"/>
                <w:numId w:val="18"/>
              </w:numPr>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D17F32">
              <w:rPr>
                <w:rFonts w:ascii="Arial" w:eastAsia="Cambria" w:hAnsi="Arial" w:cs="Arial"/>
                <w:color w:val="000000"/>
                <w:sz w:val="19"/>
                <w:szCs w:val="19"/>
                <w:lang w:val="de-DE" w:eastAsia="en-US"/>
              </w:rPr>
              <w:t>Partizipation und Mitgestaltung</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gridSpan w:val="2"/>
          </w:tcPr>
          <w:p w:rsidR="00D17F32" w:rsidRPr="00D17F32"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Berufs- und Studienorientierung</w:t>
            </w:r>
          </w:p>
          <w:p w:rsidR="00D17F32" w:rsidRPr="00D17F32"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Demokratiebildung</w:t>
            </w:r>
          </w:p>
          <w:p w:rsidR="00D17F32"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p w:rsidR="0056722C" w:rsidRPr="00D17F32" w:rsidRDefault="0056722C" w:rsidP="0056722C">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D17F32"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Methoden</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Planspiel</w:t>
            </w:r>
          </w:p>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In der Vorbereitung: Brainstorming/Mindmap</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Vorbereitung/  notwendige Materialien</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Vor dem Planspiel sollte ins Thema eingeführt werden. In der Broschüre, die zu dem Spiel gehört, finden sich dazu Links sowie ein Arbeitsbogen. Für das Spiel brauchen die Schülerinnen und Schüler Platz, sich im Klassenraum zu bewegen und in verschiedenen Gruppen miteinander zu sprechen. Die Tafel oder das Smartboard werden als Zeitung genutzt. Außerdem müssen die Zusatzmaterialien und Vorlagen aus der Broschüre kopiert werden.</w:t>
            </w:r>
          </w:p>
        </w:tc>
      </w:tr>
      <w:tr w:rsidR="0056722C" w:rsidRPr="00D17F32"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Ablauf</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Ort des Spiels ist der fiktive Staat Kaleido. In Kaleido leiden viele Menschen auf Grund von Fehlernährung unter Krankheiten wie Diabetes und Herzbeschwerden. Die Regierung denkt über Maßnahmen wie Zuckersteuern nach und bezieht sich dabei auch auf die nachhaltigen Entwicklungsziele. Die global agierenden Unternehmen in Kaleido halten von dem Vorhaben jedoch nichts und setzen auf die freie Entscheidung der Menschen.</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p>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Die Schülerinnen und Schüler schlüpfen in eine von acht Rollen, unter anderem Regierung, Unternehmen, Verbraucherschutzorganisation, Presse, Wirtschaftsverband. In ihrer Rolle versuchen sie ihre Interessen durch Verhandlungen durchzusetzen.</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p>
          <w:p w:rsidR="00D17F32" w:rsidRPr="00D17F32" w:rsidRDefault="00D17F32"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Am Schluss kommen alle zur Pressekonferenz zusammen und erklären in ihrer Rolle, was sie erreicht haben. Das Spiel endet mit einer Reflexionsrunde. Bei dieser verlassen alle ihre Rollen und berichten, wie sie sich in ihrer Rolle gefühlt haben. Dann wird besprochen, was die Vorgänge im Spiel mit der politischen Realität in verschiedenen Ländern zu tun haben.</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Alternative Zugänge / differenzierende Angebote</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 xml:space="preserve">Das Spiel kann in verschiedenen Schwierigkeitsstufen gespielt werden, je nach Alter und Vorwissen der Schülerinnen und Schüler. Bei der einfacheren Stufe sind mehr Informationen vorgegeben und die Gruppen müssen mit ihrem Budget auskommen. Bei der schwierigeren Stufe können die Schülerinnen und Schüler frei recherchieren und für ihre Rollen zusätzlich Geld bei der Spielleitung beantragen.     </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Fortführungs-vorschläge</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Je nach Fach können verschiedene Themen vertieft werden, zum Beispiel:</w:t>
            </w:r>
          </w:p>
          <w:p w:rsidR="00D17F32" w:rsidRPr="00D17F32"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 xml:space="preserve">globale Gesundheit: Dazu gibt es interessante Angebote auch von der Organisation BUKO </w:t>
            </w:r>
            <w:proofErr w:type="spellStart"/>
            <w:r w:rsidRPr="00D17F32">
              <w:rPr>
                <w:rFonts w:ascii="Arial" w:eastAsia="Cambria" w:hAnsi="Arial" w:cs="Times New Roman"/>
                <w:color w:val="000000"/>
                <w:sz w:val="19"/>
                <w:szCs w:val="19"/>
                <w:lang w:val="de-DE" w:eastAsia="en-US"/>
              </w:rPr>
              <w:t>Pharma</w:t>
            </w:r>
            <w:proofErr w:type="spellEnd"/>
            <w:r w:rsidRPr="00D17F32">
              <w:rPr>
                <w:rFonts w:ascii="Arial" w:eastAsia="Cambria" w:hAnsi="Arial" w:cs="Times New Roman"/>
                <w:color w:val="000000"/>
                <w:sz w:val="19"/>
                <w:szCs w:val="19"/>
                <w:lang w:val="de-DE" w:eastAsia="en-US"/>
              </w:rPr>
              <w:t xml:space="preserve"> (</w:t>
            </w:r>
            <w:hyperlink r:id="rId9" w:history="1">
              <w:r w:rsidRPr="00D17F32">
                <w:rPr>
                  <w:rFonts w:ascii="Arial" w:eastAsia="Cambria" w:hAnsi="Arial" w:cs="Times New Roman"/>
                  <w:sz w:val="19"/>
                  <w:szCs w:val="19"/>
                  <w:lang w:val="de-DE" w:eastAsia="en-US"/>
                </w:rPr>
                <w:t>https://www.bukopharma.de/index.php/de/lernen/schulmaterialien</w:t>
              </w:r>
            </w:hyperlink>
            <w:r w:rsidRPr="00D17F32">
              <w:rPr>
                <w:rFonts w:ascii="Arial" w:eastAsia="Cambria" w:hAnsi="Arial" w:cs="Times New Roman"/>
                <w:color w:val="000000"/>
                <w:sz w:val="19"/>
                <w:szCs w:val="19"/>
                <w:lang w:val="de-DE" w:eastAsia="en-US"/>
              </w:rPr>
              <w:t>)</w:t>
            </w:r>
          </w:p>
          <w:p w:rsidR="00D17F32" w:rsidRPr="0056722C"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 xml:space="preserve">Globalisierung und Weltwirtschaft: Dazu hat z. B. </w:t>
            </w:r>
            <w:proofErr w:type="spellStart"/>
            <w:r w:rsidRPr="00D17F32">
              <w:rPr>
                <w:rFonts w:ascii="Arial" w:eastAsia="Cambria" w:hAnsi="Arial" w:cs="Times New Roman"/>
                <w:color w:val="000000"/>
                <w:sz w:val="19"/>
                <w:szCs w:val="19"/>
                <w:lang w:val="de-DE" w:eastAsia="en-US"/>
              </w:rPr>
              <w:t>Fairbindung</w:t>
            </w:r>
            <w:proofErr w:type="spellEnd"/>
            <w:r w:rsidRPr="00D17F32">
              <w:rPr>
                <w:rFonts w:ascii="Arial" w:eastAsia="Cambria" w:hAnsi="Arial" w:cs="Times New Roman"/>
                <w:color w:val="000000"/>
                <w:sz w:val="19"/>
                <w:szCs w:val="19"/>
                <w:lang w:val="de-DE" w:eastAsia="en-US"/>
              </w:rPr>
              <w:t xml:space="preserve"> viele Materialien (</w:t>
            </w:r>
            <w:hyperlink r:id="rId10" w:anchor="methodensammlung%20endlich%20wachstum" w:history="1">
              <w:r w:rsidRPr="00D17F32">
                <w:rPr>
                  <w:rFonts w:ascii="Arial" w:eastAsia="Cambria" w:hAnsi="Arial" w:cs="Times New Roman"/>
                  <w:sz w:val="19"/>
                  <w:szCs w:val="19"/>
                  <w:lang w:val="de-DE" w:eastAsia="en-US"/>
                </w:rPr>
                <w:t>https://www.fairbindung.org/publikationen/#methodensammlung%20endlich%20wachstum</w:t>
              </w:r>
            </w:hyperlink>
            <w:r w:rsidRPr="00D17F32">
              <w:rPr>
                <w:rFonts w:ascii="Arial" w:eastAsia="Cambria" w:hAnsi="Arial" w:cs="Times New Roman"/>
                <w:color w:val="auto"/>
                <w:sz w:val="15"/>
                <w:szCs w:val="15"/>
                <w:lang w:val="de-DE" w:eastAsia="en-US"/>
              </w:rPr>
              <w:t>)</w:t>
            </w:r>
            <w:r w:rsidRPr="00D17F32">
              <w:rPr>
                <w:rFonts w:ascii="Arial" w:eastAsia="Cambria" w:hAnsi="Arial" w:cs="Times New Roman"/>
                <w:color w:val="000000"/>
                <w:sz w:val="19"/>
                <w:szCs w:val="19"/>
                <w:lang w:val="de-DE" w:eastAsia="en-US"/>
              </w:rPr>
              <w:t>.</w:t>
            </w:r>
          </w:p>
          <w:p w:rsidR="00D17F32" w:rsidRPr="00D17F32" w:rsidRDefault="00D17F32" w:rsidP="00D17F32">
            <w:pPr>
              <w:widowControl/>
              <w:numPr>
                <w:ilvl w:val="0"/>
                <w:numId w:val="1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Landwirtschaft und Ernährung: Hier gibt es interessante Angebote vom Forschungs- und Dokumentationszentrum Chile-Lateinamerika (</w:t>
            </w:r>
            <w:hyperlink r:id="rId11" w:history="1">
              <w:r w:rsidRPr="00D17F32">
                <w:rPr>
                  <w:rFonts w:ascii="Arial" w:eastAsia="Cambria" w:hAnsi="Arial" w:cs="Times New Roman"/>
                  <w:sz w:val="19"/>
                  <w:szCs w:val="19"/>
                  <w:lang w:val="de-DE" w:eastAsia="en-US"/>
                </w:rPr>
                <w:t>https://www.fdcl.org/themen/globales-lernen</w:t>
              </w:r>
            </w:hyperlink>
            <w:r w:rsidRPr="00D17F32">
              <w:rPr>
                <w:rFonts w:ascii="Arial" w:eastAsia="Cambria" w:hAnsi="Arial" w:cs="Times New Roman"/>
                <w:sz w:val="19"/>
                <w:szCs w:val="19"/>
                <w:lang w:val="de-DE" w:eastAsia="en-US"/>
              </w:rPr>
              <w:t>)</w:t>
            </w: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p>
          <w:p w:rsidR="00D17F32" w:rsidRPr="00D17F32" w:rsidRDefault="00D17F32" w:rsidP="00D17F32">
            <w:pPr>
              <w:widowControl/>
              <w:autoSpaceDE/>
              <w:autoSpaceDN/>
              <w:spacing w:after="160" w:line="260" w:lineRule="atLeast"/>
              <w:contextualSpacing/>
              <w:rPr>
                <w:rFonts w:ascii="Arial" w:eastAsia="Cambria" w:hAnsi="Arial" w:cs="Times New Roman"/>
                <w:sz w:val="19"/>
                <w:szCs w:val="19"/>
                <w:lang w:val="de-DE" w:eastAsia="en-US"/>
              </w:rPr>
            </w:pPr>
            <w:r w:rsidRPr="00D17F32">
              <w:rPr>
                <w:rFonts w:ascii="Arial" w:eastAsia="Cambria" w:hAnsi="Arial" w:cs="Times New Roman"/>
                <w:color w:val="000000"/>
                <w:sz w:val="19"/>
                <w:szCs w:val="19"/>
                <w:lang w:val="de-DE" w:eastAsia="en-US"/>
              </w:rPr>
              <w:t xml:space="preserve">Weitere Angebote von </w:t>
            </w:r>
            <w:proofErr w:type="spellStart"/>
            <w:r w:rsidRPr="00D17F32">
              <w:rPr>
                <w:rFonts w:ascii="Arial" w:eastAsia="Cambria" w:hAnsi="Arial" w:cs="Times New Roman"/>
                <w:color w:val="000000"/>
                <w:sz w:val="19"/>
                <w:szCs w:val="19"/>
                <w:lang w:val="de-DE" w:eastAsia="en-US"/>
              </w:rPr>
              <w:t>foodjustice</w:t>
            </w:r>
            <w:proofErr w:type="spellEnd"/>
            <w:r w:rsidRPr="00D17F32">
              <w:rPr>
                <w:rFonts w:ascii="Arial" w:eastAsia="Cambria" w:hAnsi="Arial" w:cs="Times New Roman"/>
                <w:color w:val="000000"/>
                <w:sz w:val="19"/>
                <w:szCs w:val="19"/>
                <w:lang w:val="de-DE" w:eastAsia="en-US"/>
              </w:rPr>
              <w:t xml:space="preserve"> (</w:t>
            </w:r>
            <w:hyperlink r:id="rId12" w:history="1">
              <w:r w:rsidRPr="00D17F32">
                <w:rPr>
                  <w:rFonts w:ascii="Arial" w:eastAsia="Cambria" w:hAnsi="Arial" w:cs="Times New Roman"/>
                  <w:sz w:val="19"/>
                  <w:szCs w:val="19"/>
                  <w:lang w:val="de-DE" w:eastAsia="en-US"/>
                </w:rPr>
                <w:t>www.foodjustice.de</w:t>
              </w:r>
            </w:hyperlink>
            <w:r w:rsidRPr="00D17F32">
              <w:rPr>
                <w:rFonts w:ascii="Arial" w:eastAsia="Cambria" w:hAnsi="Arial" w:cs="Times New Roman"/>
                <w:sz w:val="19"/>
                <w:szCs w:val="19"/>
                <w:lang w:val="de-DE" w:eastAsia="en-US"/>
              </w:rPr>
              <w:t>)</w:t>
            </w:r>
            <w:r w:rsidRPr="00D17F32">
              <w:rPr>
                <w:rFonts w:ascii="Arial" w:eastAsia="Cambria" w:hAnsi="Arial" w:cs="Times New Roman"/>
                <w:color w:val="000000"/>
                <w:sz w:val="19"/>
                <w:szCs w:val="19"/>
                <w:lang w:val="de-DE" w:eastAsia="en-US"/>
              </w:rPr>
              <w:t xml:space="preserve"> umfassen folgende Themen:</w:t>
            </w:r>
          </w:p>
          <w:p w:rsidR="00D17F32" w:rsidRPr="00D17F32" w:rsidRDefault="00D17F32"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Werbung weltweit und deren Einfluss (Unterrichtseinheit)</w:t>
            </w:r>
          </w:p>
          <w:p w:rsidR="00D17F32" w:rsidRPr="00D17F32" w:rsidRDefault="00D17F32" w:rsidP="00D17F32">
            <w:pPr>
              <w:widowControl/>
              <w:numPr>
                <w:ilvl w:val="0"/>
                <w:numId w:val="18"/>
              </w:numPr>
              <w:tabs>
                <w:tab w:val="left" w:pos="720"/>
              </w:tabs>
              <w:autoSpaceDE/>
              <w:autoSpaceDN/>
              <w:spacing w:after="160" w:line="260" w:lineRule="atLeast"/>
              <w:ind w:left="714" w:hanging="357"/>
              <w:contextualSpacing/>
              <w:rPr>
                <w:rFonts w:ascii="Arial" w:eastAsia="Cambria" w:hAnsi="Arial" w:cs="Times New Roman"/>
                <w:color w:val="808080"/>
                <w:sz w:val="19"/>
                <w:szCs w:val="19"/>
                <w:lang w:val="de-DE" w:eastAsia="en-US"/>
              </w:rPr>
            </w:pPr>
            <w:r w:rsidRPr="00D17F32">
              <w:rPr>
                <w:rFonts w:ascii="Arial" w:eastAsia="Cambria" w:hAnsi="Arial" w:cs="Times New Roman"/>
                <w:color w:val="000000"/>
                <w:sz w:val="19"/>
                <w:szCs w:val="19"/>
                <w:lang w:val="de-DE" w:eastAsia="en-US"/>
              </w:rPr>
              <w:t>Träum weiter – Alternativen kennenlernen (ganztägiger Ausflug zu Orten des Wandels in Berlin, z.B. Stadtgärten)</w:t>
            </w:r>
          </w:p>
          <w:p w:rsidR="00D17F32" w:rsidRPr="00D17F32" w:rsidRDefault="00D17F32" w:rsidP="00D17F32">
            <w:pPr>
              <w:widowControl/>
              <w:numPr>
                <w:ilvl w:val="0"/>
                <w:numId w:val="18"/>
              </w:numPr>
              <w:tabs>
                <w:tab w:val="left" w:pos="720"/>
              </w:tabs>
              <w:autoSpaceDE/>
              <w:autoSpaceDN/>
              <w:spacing w:after="160" w:line="260" w:lineRule="atLeast"/>
              <w:contextualSpacing/>
              <w:jc w:val="both"/>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Ernährung in den Städten weltweit</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Kontakt für Rückfragen</w:t>
            </w:r>
          </w:p>
        </w:tc>
        <w:tc>
          <w:tcPr>
            <w:tcW w:w="7495" w:type="dxa"/>
            <w:gridSpan w:val="2"/>
          </w:tcPr>
          <w:p w:rsidR="00D17F32" w:rsidRPr="00D17F32" w:rsidRDefault="00D17F32" w:rsidP="00D17F32">
            <w:pPr>
              <w:keepNext/>
              <w:widowControl/>
              <w:tabs>
                <w:tab w:val="left" w:pos="1467"/>
              </w:tabs>
              <w:autoSpaceDE/>
              <w:autoSpaceDN/>
              <w:spacing w:after="160" w:line="260" w:lineRule="atLeast"/>
              <w:ind w:right="28"/>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Berliner Landesarbeitsgemeinschaft Umwelt und Entwicklung (BLUE21)</w:t>
            </w:r>
          </w:p>
          <w:p w:rsidR="00D17F32" w:rsidRPr="00D17F32" w:rsidRDefault="00D17F32" w:rsidP="00D17F32">
            <w:pPr>
              <w:keepNext/>
              <w:widowControl/>
              <w:tabs>
                <w:tab w:val="left" w:pos="1467"/>
              </w:tabs>
              <w:autoSpaceDE/>
              <w:autoSpaceDN/>
              <w:spacing w:after="160" w:line="260" w:lineRule="atLeast"/>
              <w:ind w:right="26"/>
              <w:contextualSpacing/>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Dinah Stratenwerth, stratenwerth@blue21.de</w:t>
            </w:r>
          </w:p>
        </w:tc>
      </w:tr>
      <w:tr w:rsidR="0056722C" w:rsidRPr="00D17F32"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Anmerkungen</w:t>
            </w:r>
          </w:p>
        </w:tc>
        <w:tc>
          <w:tcPr>
            <w:tcW w:w="7495" w:type="dxa"/>
            <w:gridSpan w:val="2"/>
          </w:tcPr>
          <w:p w:rsidR="00D17F32" w:rsidRPr="00D17F32" w:rsidRDefault="00D17F32" w:rsidP="00D17F32">
            <w:pPr>
              <w:widowControl/>
              <w:autoSpaceDE/>
              <w:autoSpaceDN/>
              <w:spacing w:after="160" w:line="260" w:lineRule="atLeast"/>
              <w:contextualSpacing/>
              <w:rPr>
                <w:rFonts w:ascii="Arial" w:eastAsia="Cambria" w:hAnsi="Arial" w:cs="Times New Roman"/>
                <w:color w:val="141313"/>
                <w:sz w:val="19"/>
                <w:szCs w:val="19"/>
                <w:lang w:val="de-DE" w:eastAsia="en-US"/>
              </w:rPr>
            </w:pPr>
            <w:r w:rsidRPr="00D17F32">
              <w:rPr>
                <w:rFonts w:ascii="Arial" w:eastAsia="Cambria" w:hAnsi="Arial" w:cs="Times New Roman"/>
                <w:color w:val="000000"/>
                <w:sz w:val="19"/>
                <w:szCs w:val="19"/>
                <w:lang w:val="de-DE" w:eastAsia="en-US"/>
              </w:rPr>
              <w:t>Das Spiel kann über die oben angegebene Mailadresse bestellt werden. Es kann entweder selbstständig gespielt oder ein Workshop gebucht werden.</w:t>
            </w:r>
          </w:p>
        </w:tc>
      </w:tr>
    </w:tbl>
    <w:p w:rsidR="00267688" w:rsidRDefault="007F3F54" w:rsidP="007F3F54">
      <w:pPr>
        <w:pStyle w:val="Textkrper"/>
        <w:rPr>
          <w:lang w:val="de-DE"/>
        </w:rPr>
      </w:pPr>
      <w:r>
        <w:rPr>
          <w:lang w:val="de-DE"/>
        </w:rPr>
        <w:br w:type="textWrapping" w:clear="all"/>
      </w:r>
    </w:p>
    <w:sectPr w:rsidR="00267688" w:rsidSect="00E5602B">
      <w:headerReference w:type="default" r:id="rId13"/>
      <w:footerReference w:type="default" r:id="rId14"/>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60" w:rsidRDefault="00DE2560" w:rsidP="00267688">
      <w:r>
        <w:separator/>
      </w:r>
    </w:p>
  </w:endnote>
  <w:endnote w:type="continuationSeparator" w:id="0">
    <w:p w:rsidR="00DE2560" w:rsidRDefault="00DE2560"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5B6A77">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60" w:rsidRDefault="00DE2560" w:rsidP="00267688">
      <w:r>
        <w:separator/>
      </w:r>
    </w:p>
  </w:footnote>
  <w:footnote w:type="continuationSeparator" w:id="0">
    <w:p w:rsidR="00DE2560" w:rsidRDefault="00DE2560"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w:t>
    </w:r>
    <w:r w:rsidR="00D17F32">
      <w:rPr>
        <w:b/>
        <w:bCs/>
        <w:lang w:val="de-DE"/>
      </w:rPr>
      <w:t>r Einbindung des übergreifenden Themas in den Unterricht</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7">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3">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4">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num w:numId="1">
    <w:abstractNumId w:val="5"/>
  </w:num>
  <w:num w:numId="2">
    <w:abstractNumId w:val="15"/>
  </w:num>
  <w:num w:numId="3">
    <w:abstractNumId w:val="2"/>
  </w:num>
  <w:num w:numId="4">
    <w:abstractNumId w:val="1"/>
  </w:num>
  <w:num w:numId="5">
    <w:abstractNumId w:val="14"/>
  </w:num>
  <w:num w:numId="6">
    <w:abstractNumId w:val="5"/>
  </w:num>
  <w:num w:numId="7">
    <w:abstractNumId w:val="15"/>
  </w:num>
  <w:num w:numId="8">
    <w:abstractNumId w:val="2"/>
  </w:num>
  <w:num w:numId="9">
    <w:abstractNumId w:val="1"/>
  </w:num>
  <w:num w:numId="10">
    <w:abstractNumId w:val="14"/>
  </w:num>
  <w:num w:numId="11">
    <w:abstractNumId w:val="13"/>
  </w:num>
  <w:num w:numId="12">
    <w:abstractNumId w:val="16"/>
  </w:num>
  <w:num w:numId="13">
    <w:abstractNumId w:val="0"/>
  </w:num>
  <w:num w:numId="14">
    <w:abstractNumId w:val="9"/>
  </w:num>
  <w:num w:numId="15">
    <w:abstractNumId w:val="7"/>
  </w:num>
  <w:num w:numId="16">
    <w:abstractNumId w:val="10"/>
  </w:num>
  <w:num w:numId="17">
    <w:abstractNumId w:val="6"/>
  </w:num>
  <w:num w:numId="18">
    <w:abstractNumId w:val="12"/>
  </w:num>
  <w:num w:numId="19">
    <w:abstractNumId w:val="3"/>
  </w:num>
  <w:num w:numId="20">
    <w:abstractNumId w:val="11"/>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671C"/>
    <w:rsid w:val="00117BBA"/>
    <w:rsid w:val="001C5499"/>
    <w:rsid w:val="00267688"/>
    <w:rsid w:val="00340FFE"/>
    <w:rsid w:val="00396075"/>
    <w:rsid w:val="003C31FA"/>
    <w:rsid w:val="003D1EE5"/>
    <w:rsid w:val="00400E94"/>
    <w:rsid w:val="004874A1"/>
    <w:rsid w:val="004D1511"/>
    <w:rsid w:val="0056722C"/>
    <w:rsid w:val="0056778C"/>
    <w:rsid w:val="005739F3"/>
    <w:rsid w:val="00580846"/>
    <w:rsid w:val="005B6A77"/>
    <w:rsid w:val="00730736"/>
    <w:rsid w:val="00731373"/>
    <w:rsid w:val="00734920"/>
    <w:rsid w:val="007D5F70"/>
    <w:rsid w:val="007F3F54"/>
    <w:rsid w:val="00814076"/>
    <w:rsid w:val="008C5C6A"/>
    <w:rsid w:val="00935CD6"/>
    <w:rsid w:val="00960750"/>
    <w:rsid w:val="00AA51EB"/>
    <w:rsid w:val="00AB5484"/>
    <w:rsid w:val="00B21B87"/>
    <w:rsid w:val="00BB555E"/>
    <w:rsid w:val="00C31A6C"/>
    <w:rsid w:val="00C904BE"/>
    <w:rsid w:val="00D17F32"/>
    <w:rsid w:val="00D42370"/>
    <w:rsid w:val="00D62C04"/>
    <w:rsid w:val="00D92798"/>
    <w:rsid w:val="00DE2560"/>
    <w:rsid w:val="00E5602B"/>
    <w:rsid w:val="00E64A3B"/>
    <w:rsid w:val="00E64D68"/>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justic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cl.org/themen/globales-ler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irbindung.org/publikationen/" TargetMode="External"/><Relationship Id="rId4" Type="http://schemas.openxmlformats.org/officeDocument/2006/relationships/settings" Target="settings.xml"/><Relationship Id="rId9" Type="http://schemas.openxmlformats.org/officeDocument/2006/relationships/hyperlink" Target="https://www.bukopharma.de/index.php/de/lernen/schulmateriali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3B9F-5C14-4066-8950-AE9082C7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4</cp:revision>
  <dcterms:created xsi:type="dcterms:W3CDTF">2022-09-12T10:55:00Z</dcterms:created>
  <dcterms:modified xsi:type="dcterms:W3CDTF">2023-02-03T09:52:00Z</dcterms:modified>
</cp:coreProperties>
</file>