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bookmarkStart w:id="0" w:name="_GoBack"/>
      <w:bookmarkEnd w:id="0"/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ED2368" w:rsidP="00321743">
            <w:pPr>
              <w:spacing w:before="200" w:after="200"/>
            </w:pPr>
            <w:r>
              <w:t>Chemie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ED2368" w:rsidP="00321743">
            <w:pPr>
              <w:spacing w:before="200" w:after="200"/>
            </w:pPr>
            <w:r>
              <w:t>Erkenntnisse gewinnen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ED2368" w:rsidP="002D45E6">
            <w:pPr>
              <w:tabs>
                <w:tab w:val="left" w:pos="1373"/>
              </w:tabs>
              <w:spacing w:before="200" w:after="200"/>
            </w:pPr>
            <w:r>
              <w:t xml:space="preserve">Naturwissenschaftliche Untersuchungen durchführen </w:t>
            </w:r>
            <w:r w:rsidR="00F93BE7">
              <w:t>–</w:t>
            </w:r>
            <w:r>
              <w:t xml:space="preserve"> </w:t>
            </w:r>
            <w:r w:rsidR="002D45E6">
              <w:t>Auswe</w:t>
            </w:r>
            <w:r w:rsidR="002D45E6">
              <w:t>r</w:t>
            </w:r>
            <w:r w:rsidR="002D45E6">
              <w:t>tung und Reflexion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2D45E6" w:rsidP="00BE7704">
            <w:pPr>
              <w:tabs>
                <w:tab w:val="left" w:pos="1190"/>
              </w:tabs>
              <w:spacing w:before="200" w:after="200"/>
            </w:pPr>
            <w:r>
              <w:t>F</w:t>
            </w:r>
            <w:r w:rsidR="003A50A8">
              <w:t>/</w:t>
            </w:r>
            <w:r w:rsidRPr="00AC0CC5">
              <w:t>G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973929" w:rsidP="002D45E6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="002D45E6">
              <w:t>Untersuchungsergebni</w:t>
            </w:r>
            <w:r w:rsidR="002D45E6">
              <w:t>s</w:t>
            </w:r>
            <w:r w:rsidR="002D45E6">
              <w:t>se</w:t>
            </w:r>
            <w:r w:rsidR="0082711A">
              <w:t xml:space="preserve"> (auch erwartungswidrige)</w:t>
            </w:r>
            <w:r w:rsidR="002D45E6">
              <w:t xml:space="preserve"> interpretieren.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3C1072" w:rsidRPr="00202F49" w:rsidRDefault="00AC0CC5" w:rsidP="00AC0CC5">
            <w:pPr>
              <w:tabs>
                <w:tab w:val="left" w:pos="1190"/>
              </w:tabs>
              <w:spacing w:before="200" w:after="200"/>
            </w:pPr>
            <w:r>
              <w:t>TF 5</w:t>
            </w:r>
            <w:r w:rsidR="003A50A8">
              <w:t xml:space="preserve">: </w:t>
            </w:r>
            <w:r>
              <w:t>Salze – Gegensätze ziehen sich an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AC0CC5" w:rsidP="00AC0CC5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FF4648" w:rsidRDefault="00FF4648" w:rsidP="00FF4648">
            <w:pPr>
              <w:tabs>
                <w:tab w:val="left" w:pos="1190"/>
              </w:tabs>
              <w:spacing w:before="200" w:after="200" w:line="240" w:lineRule="auto"/>
            </w:pPr>
            <w:r w:rsidRPr="00FF4648">
              <w:rPr>
                <w:b/>
                <w:sz w:val="20"/>
                <w:szCs w:val="20"/>
              </w:rPr>
              <w:t>D</w:t>
            </w:r>
            <w:r w:rsidR="00AC0CC5" w:rsidRPr="00FF4648">
              <w:t>ie Schülerinnen und Schüler können Beobachtungen und B</w:t>
            </w:r>
            <w:r w:rsidR="00AC0CC5" w:rsidRPr="00FF4648">
              <w:t>e</w:t>
            </w:r>
            <w:r w:rsidR="00AC0CC5" w:rsidRPr="00FF4648">
              <w:t>trachtungen (z. B. Vorgang, Abbildung, Bild, Objekt und M</w:t>
            </w:r>
            <w:r w:rsidR="00AC0CC5" w:rsidRPr="00FF4648">
              <w:t>o</w:t>
            </w:r>
            <w:r w:rsidR="00AC0CC5" w:rsidRPr="00FF4648">
              <w:t>dell) beschre</w:t>
            </w:r>
            <w:r w:rsidR="00AC0CC5" w:rsidRPr="00FF4648">
              <w:t>i</w:t>
            </w:r>
            <w:r w:rsidR="00AC0CC5" w:rsidRPr="00FF4648">
              <w:t>ben und erläutern.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E320B9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97392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9A6FF5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9A6FF5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AC0CC5" w:rsidP="00321743">
            <w:pPr>
              <w:spacing w:before="200" w:after="200"/>
            </w:pPr>
            <w:r>
              <w:t>Kochsalz, Interpretation von Messdaten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>Aufgabe und Material:</w:t>
      </w:r>
    </w:p>
    <w:p w:rsidR="0082711A" w:rsidRDefault="0082711A" w:rsidP="002D45E6">
      <w:pPr>
        <w:spacing w:after="200"/>
        <w:jc w:val="both"/>
        <w:rPr>
          <w:rFonts w:cs="Arial"/>
          <w:b/>
        </w:rPr>
      </w:pPr>
    </w:p>
    <w:p w:rsidR="002D45E6" w:rsidRPr="002D45E6" w:rsidRDefault="002D45E6" w:rsidP="002D45E6">
      <w:pPr>
        <w:spacing w:after="200"/>
        <w:jc w:val="both"/>
        <w:rPr>
          <w:rFonts w:cs="Arial"/>
          <w:b/>
        </w:rPr>
      </w:pPr>
      <w:r w:rsidRPr="002D45E6">
        <w:rPr>
          <w:rFonts w:cs="Arial"/>
          <w:b/>
        </w:rPr>
        <w:t>Löslichkeit eines Salzes</w:t>
      </w:r>
    </w:p>
    <w:tbl>
      <w:tblPr>
        <w:tblpPr w:leftFromText="141" w:rightFromText="141" w:vertAnchor="text" w:horzAnchor="margin" w:tblpY="72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2D45E6" w:rsidRPr="009827CE" w:rsidTr="00215B68">
        <w:trPr>
          <w:trHeight w:val="4249"/>
        </w:trPr>
        <w:tc>
          <w:tcPr>
            <w:tcW w:w="9497" w:type="dxa"/>
            <w:shd w:val="clear" w:color="auto" w:fill="auto"/>
          </w:tcPr>
          <w:tbl>
            <w:tblPr>
              <w:tblpPr w:leftFromText="141" w:rightFromText="141" w:vertAnchor="text" w:horzAnchor="margin" w:tblpX="137" w:tblpY="120"/>
              <w:tblW w:w="9046" w:type="dxa"/>
              <w:tblLook w:val="04A0" w:firstRow="1" w:lastRow="0" w:firstColumn="1" w:lastColumn="0" w:noHBand="0" w:noVBand="1"/>
            </w:tblPr>
            <w:tblGrid>
              <w:gridCol w:w="9046"/>
            </w:tblGrid>
            <w:tr w:rsidR="002D45E6" w:rsidRPr="009827CE" w:rsidTr="009E4EE6">
              <w:trPr>
                <w:trHeight w:val="3681"/>
              </w:trPr>
              <w:tc>
                <w:tcPr>
                  <w:tcW w:w="9046" w:type="dxa"/>
                  <w:shd w:val="clear" w:color="auto" w:fill="auto"/>
                </w:tcPr>
                <w:p w:rsidR="002D45E6" w:rsidRPr="009827CE" w:rsidRDefault="002D45E6" w:rsidP="009827CE">
                  <w:pPr>
                    <w:spacing w:line="240" w:lineRule="auto"/>
                    <w:ind w:left="-113"/>
                    <w:jc w:val="both"/>
                    <w:rPr>
                      <w:rFonts w:cs="Arial"/>
                      <w:b/>
                    </w:rPr>
                  </w:pPr>
                </w:p>
                <w:p w:rsidR="00111C4D" w:rsidRDefault="002D45E6" w:rsidP="00FD728A">
                  <w:pPr>
                    <w:spacing w:line="240" w:lineRule="auto"/>
                    <w:ind w:left="-113" w:right="-108"/>
                    <w:jc w:val="both"/>
                    <w:rPr>
                      <w:rFonts w:cs="Arial"/>
                    </w:rPr>
                  </w:pPr>
                  <w:r w:rsidRPr="009827CE">
                    <w:rPr>
                      <w:rFonts w:cs="Arial"/>
                    </w:rPr>
                    <w:t xml:space="preserve">Als Anton heute von der Schule nach </w:t>
                  </w:r>
                  <w:r w:rsidR="003A50A8">
                    <w:rPr>
                      <w:rFonts w:cs="Arial"/>
                    </w:rPr>
                    <w:t xml:space="preserve">Hause kommt, </w:t>
                  </w:r>
                  <w:r w:rsidR="00C54FE8">
                    <w:rPr>
                      <w:rFonts w:cs="Arial"/>
                    </w:rPr>
                    <w:t>berichtet er seiner Mutter  voller Fre</w:t>
                  </w:r>
                  <w:r w:rsidR="00C54FE8">
                    <w:rPr>
                      <w:rFonts w:cs="Arial"/>
                    </w:rPr>
                    <w:t>u</w:t>
                  </w:r>
                  <w:r w:rsidR="00C54FE8">
                    <w:rPr>
                      <w:rFonts w:cs="Arial"/>
                    </w:rPr>
                    <w:t>de</w:t>
                  </w:r>
                  <w:r w:rsidR="00FD728A">
                    <w:rPr>
                      <w:rFonts w:cs="Arial"/>
                    </w:rPr>
                    <w:t>, da</w:t>
                  </w:r>
                  <w:r w:rsidR="00AC0CC5">
                    <w:rPr>
                      <w:rFonts w:cs="Arial"/>
                    </w:rPr>
                    <w:t>ss</w:t>
                  </w:r>
                  <w:r w:rsidR="00FD728A">
                    <w:rPr>
                      <w:rFonts w:cs="Arial"/>
                    </w:rPr>
                    <w:t xml:space="preserve"> sie die ganze Stunde</w:t>
                  </w:r>
                  <w:r w:rsidR="00C54FE8">
                    <w:rPr>
                      <w:rFonts w:cs="Arial"/>
                    </w:rPr>
                    <w:t xml:space="preserve"> </w:t>
                  </w:r>
                  <w:r w:rsidR="00AC0CC5">
                    <w:rPr>
                      <w:rFonts w:cs="Arial"/>
                    </w:rPr>
                    <w:t xml:space="preserve">im Chemieunterricht </w:t>
                  </w:r>
                  <w:r w:rsidR="00C54FE8">
                    <w:rPr>
                      <w:rFonts w:cs="Arial"/>
                    </w:rPr>
                    <w:t>experimentiert haben.</w:t>
                  </w:r>
                  <w:r w:rsidR="00111C4D">
                    <w:rPr>
                      <w:rFonts w:cs="Arial"/>
                    </w:rPr>
                    <w:t xml:space="preserve"> Sie haben sich mit der Löslichkeit von </w:t>
                  </w:r>
                  <w:r w:rsidR="00FD728A">
                    <w:rPr>
                      <w:rFonts w:cs="Arial"/>
                    </w:rPr>
                    <w:t>Kochsalz</w:t>
                  </w:r>
                  <w:r w:rsidR="00111C4D">
                    <w:rPr>
                      <w:rFonts w:cs="Arial"/>
                    </w:rPr>
                    <w:t xml:space="preserve"> </w:t>
                  </w:r>
                  <w:r w:rsidR="00C65F9B">
                    <w:rPr>
                      <w:rFonts w:cs="Arial"/>
                    </w:rPr>
                    <w:t xml:space="preserve">in 100 ml Wasser </w:t>
                  </w:r>
                  <w:r w:rsidR="00111C4D">
                    <w:rPr>
                      <w:rFonts w:cs="Arial"/>
                    </w:rPr>
                    <w:t>bei unterschiedlichen Temperaturen beschä</w:t>
                  </w:r>
                  <w:r w:rsidR="00111C4D">
                    <w:rPr>
                      <w:rFonts w:cs="Arial"/>
                    </w:rPr>
                    <w:t>f</w:t>
                  </w:r>
                  <w:r w:rsidR="00111C4D">
                    <w:rPr>
                      <w:rFonts w:cs="Arial"/>
                    </w:rPr>
                    <w:t>tigt.</w:t>
                  </w:r>
                  <w:r w:rsidR="00C54FE8">
                    <w:rPr>
                      <w:rFonts w:cs="Arial"/>
                    </w:rPr>
                    <w:t xml:space="preserve"> Allerdings hat er nun Hausaufgaben auf</w:t>
                  </w:r>
                  <w:r w:rsidR="00C65F9B">
                    <w:rPr>
                      <w:rFonts w:cs="Arial"/>
                    </w:rPr>
                    <w:t>bekommen</w:t>
                  </w:r>
                  <w:r w:rsidR="00C54FE8">
                    <w:rPr>
                      <w:rFonts w:cs="Arial"/>
                    </w:rPr>
                    <w:t xml:space="preserve"> und muss </w:t>
                  </w:r>
                  <w:r w:rsidR="00111C4D">
                    <w:rPr>
                      <w:rFonts w:cs="Arial"/>
                    </w:rPr>
                    <w:t>seine E</w:t>
                  </w:r>
                  <w:r w:rsidR="00111C4D">
                    <w:rPr>
                      <w:rFonts w:cs="Arial"/>
                    </w:rPr>
                    <w:t>r</w:t>
                  </w:r>
                  <w:r w:rsidR="00111C4D">
                    <w:rPr>
                      <w:rFonts w:cs="Arial"/>
                    </w:rPr>
                    <w:t xml:space="preserve">gebnisse </w:t>
                  </w:r>
                  <w:r w:rsidR="00FD728A">
                    <w:rPr>
                      <w:rFonts w:cs="Arial"/>
                    </w:rPr>
                    <w:t>zu</w:t>
                  </w:r>
                  <w:r w:rsidR="00AC0CC5">
                    <w:rPr>
                      <w:rFonts w:cs="Arial"/>
                    </w:rPr>
                    <w:t>r Löslichkeit von</w:t>
                  </w:r>
                  <w:r w:rsidR="00FD728A">
                    <w:rPr>
                      <w:rFonts w:cs="Arial"/>
                    </w:rPr>
                    <w:t xml:space="preserve"> Kochsalz </w:t>
                  </w:r>
                  <w:r w:rsidR="00111C4D">
                    <w:rPr>
                      <w:rFonts w:cs="Arial"/>
                    </w:rPr>
                    <w:t xml:space="preserve">auswerten. Er hat dazu im Unterricht </w:t>
                  </w:r>
                  <w:r w:rsidR="00262878">
                    <w:rPr>
                      <w:rFonts w:cs="Arial"/>
                    </w:rPr>
                    <w:t>folgende Tabelle ang</w:t>
                  </w:r>
                  <w:r w:rsidR="00262878">
                    <w:rPr>
                      <w:rFonts w:cs="Arial"/>
                    </w:rPr>
                    <w:t>e</w:t>
                  </w:r>
                  <w:r w:rsidR="00262878">
                    <w:rPr>
                      <w:rFonts w:cs="Arial"/>
                    </w:rPr>
                    <w:t>fertigt:</w:t>
                  </w:r>
                </w:p>
                <w:p w:rsidR="00262878" w:rsidRDefault="00262878" w:rsidP="009827CE">
                  <w:pPr>
                    <w:spacing w:line="240" w:lineRule="auto"/>
                    <w:ind w:left="-113"/>
                    <w:jc w:val="both"/>
                    <w:rPr>
                      <w:rFonts w:cs="Arial"/>
                    </w:rPr>
                  </w:pPr>
                </w:p>
                <w:tbl>
                  <w:tblPr>
                    <w:tblW w:w="0" w:type="auto"/>
                    <w:tblInd w:w="11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32"/>
                    <w:gridCol w:w="3418"/>
                  </w:tblGrid>
                  <w:tr w:rsidR="00262878" w:rsidRPr="00323F43" w:rsidTr="009E4EE6">
                    <w:trPr>
                      <w:trHeight w:val="222"/>
                    </w:trPr>
                    <w:tc>
                      <w:tcPr>
                        <w:tcW w:w="3732" w:type="dxa"/>
                        <w:shd w:val="clear" w:color="auto" w:fill="BFBFBF"/>
                      </w:tcPr>
                      <w:p w:rsidR="00262878" w:rsidRPr="00323F43" w:rsidRDefault="00262878" w:rsidP="00323F43">
                        <w:pPr>
                          <w:framePr w:hSpace="141" w:wrap="around" w:vAnchor="text" w:hAnchor="margin" w:y="72"/>
                          <w:spacing w:line="240" w:lineRule="auto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323F43">
                          <w:rPr>
                            <w:rFonts w:cs="Arial"/>
                            <w:b/>
                          </w:rPr>
                          <w:t>Temperatur in °C</w:t>
                        </w:r>
                      </w:p>
                    </w:tc>
                    <w:tc>
                      <w:tcPr>
                        <w:tcW w:w="3418" w:type="dxa"/>
                        <w:shd w:val="clear" w:color="auto" w:fill="BFBFBF"/>
                      </w:tcPr>
                      <w:p w:rsidR="00262878" w:rsidRPr="00323F43" w:rsidRDefault="00262878" w:rsidP="00323F43">
                        <w:pPr>
                          <w:framePr w:hSpace="141" w:wrap="around" w:vAnchor="text" w:hAnchor="margin" w:y="72"/>
                          <w:spacing w:line="240" w:lineRule="auto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323F43">
                          <w:rPr>
                            <w:rFonts w:cs="Arial"/>
                            <w:b/>
                          </w:rPr>
                          <w:t>Salzmenge in g</w:t>
                        </w:r>
                      </w:p>
                    </w:tc>
                  </w:tr>
                  <w:tr w:rsidR="00C65F9B" w:rsidRPr="00323F43" w:rsidTr="009E4EE6">
                    <w:trPr>
                      <w:trHeight w:val="239"/>
                    </w:trPr>
                    <w:tc>
                      <w:tcPr>
                        <w:tcW w:w="3732" w:type="dxa"/>
                        <w:shd w:val="clear" w:color="auto" w:fill="auto"/>
                      </w:tcPr>
                      <w:p w:rsidR="00C65F9B" w:rsidRPr="00323F43" w:rsidRDefault="00C65F9B" w:rsidP="00323F43">
                        <w:pPr>
                          <w:framePr w:hSpace="141" w:wrap="around" w:vAnchor="text" w:hAnchor="margin" w:y="72"/>
                          <w:spacing w:line="240" w:lineRule="auto"/>
                          <w:jc w:val="center"/>
                          <w:rPr>
                            <w:rFonts w:cs="Arial"/>
                          </w:rPr>
                        </w:pPr>
                        <w:r w:rsidRPr="00323F43">
                          <w:rPr>
                            <w:rFonts w:cs="Arial"/>
                          </w:rPr>
                          <w:t>20</w:t>
                        </w:r>
                      </w:p>
                    </w:tc>
                    <w:tc>
                      <w:tcPr>
                        <w:tcW w:w="3418" w:type="dxa"/>
                        <w:shd w:val="clear" w:color="auto" w:fill="auto"/>
                      </w:tcPr>
                      <w:p w:rsidR="00C65F9B" w:rsidRPr="00323F43" w:rsidRDefault="00FD728A" w:rsidP="00323F43">
                        <w:pPr>
                          <w:framePr w:hSpace="141" w:wrap="around" w:vAnchor="text" w:hAnchor="margin" w:y="72"/>
                          <w:spacing w:line="240" w:lineRule="auto"/>
                          <w:jc w:val="center"/>
                          <w:rPr>
                            <w:rFonts w:cs="Arial"/>
                          </w:rPr>
                        </w:pPr>
                        <w:r w:rsidRPr="00323F43">
                          <w:rPr>
                            <w:rFonts w:cs="Arial"/>
                          </w:rPr>
                          <w:t>35,6</w:t>
                        </w:r>
                      </w:p>
                    </w:tc>
                  </w:tr>
                  <w:tr w:rsidR="00C65F9B" w:rsidRPr="00323F43" w:rsidTr="009E4EE6">
                    <w:trPr>
                      <w:trHeight w:val="239"/>
                    </w:trPr>
                    <w:tc>
                      <w:tcPr>
                        <w:tcW w:w="3732" w:type="dxa"/>
                        <w:shd w:val="clear" w:color="auto" w:fill="auto"/>
                      </w:tcPr>
                      <w:p w:rsidR="00C65F9B" w:rsidRPr="00323F43" w:rsidRDefault="00C65F9B" w:rsidP="00323F43">
                        <w:pPr>
                          <w:framePr w:hSpace="141" w:wrap="around" w:vAnchor="text" w:hAnchor="margin" w:y="72"/>
                          <w:spacing w:line="240" w:lineRule="auto"/>
                          <w:jc w:val="center"/>
                          <w:rPr>
                            <w:rFonts w:cs="Arial"/>
                          </w:rPr>
                        </w:pPr>
                        <w:r w:rsidRPr="00323F43">
                          <w:rPr>
                            <w:rFonts w:cs="Arial"/>
                          </w:rPr>
                          <w:t>25</w:t>
                        </w:r>
                      </w:p>
                    </w:tc>
                    <w:tc>
                      <w:tcPr>
                        <w:tcW w:w="3418" w:type="dxa"/>
                        <w:shd w:val="clear" w:color="auto" w:fill="auto"/>
                      </w:tcPr>
                      <w:p w:rsidR="00C65F9B" w:rsidRPr="00323F43" w:rsidRDefault="00FD728A" w:rsidP="00323F43">
                        <w:pPr>
                          <w:framePr w:hSpace="141" w:wrap="around" w:vAnchor="text" w:hAnchor="margin" w:y="72"/>
                          <w:spacing w:line="240" w:lineRule="auto"/>
                          <w:jc w:val="center"/>
                          <w:rPr>
                            <w:rFonts w:cs="Arial"/>
                          </w:rPr>
                        </w:pPr>
                        <w:r w:rsidRPr="00323F43">
                          <w:rPr>
                            <w:rFonts w:cs="Arial"/>
                          </w:rPr>
                          <w:t>36,0</w:t>
                        </w:r>
                      </w:p>
                    </w:tc>
                  </w:tr>
                  <w:tr w:rsidR="00C65F9B" w:rsidRPr="00323F43" w:rsidTr="009E4EE6">
                    <w:trPr>
                      <w:trHeight w:val="239"/>
                    </w:trPr>
                    <w:tc>
                      <w:tcPr>
                        <w:tcW w:w="3732" w:type="dxa"/>
                        <w:shd w:val="clear" w:color="auto" w:fill="auto"/>
                      </w:tcPr>
                      <w:p w:rsidR="00C65F9B" w:rsidRPr="00323F43" w:rsidRDefault="00C65F9B" w:rsidP="00323F43">
                        <w:pPr>
                          <w:framePr w:hSpace="141" w:wrap="around" w:vAnchor="text" w:hAnchor="margin" w:y="72"/>
                          <w:spacing w:line="240" w:lineRule="auto"/>
                          <w:jc w:val="center"/>
                          <w:rPr>
                            <w:rFonts w:cs="Arial"/>
                          </w:rPr>
                        </w:pPr>
                        <w:r w:rsidRPr="00323F43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3418" w:type="dxa"/>
                        <w:shd w:val="clear" w:color="auto" w:fill="auto"/>
                      </w:tcPr>
                      <w:p w:rsidR="00C65F9B" w:rsidRPr="00323F43" w:rsidRDefault="00FD728A" w:rsidP="00323F43">
                        <w:pPr>
                          <w:framePr w:hSpace="141" w:wrap="around" w:vAnchor="text" w:hAnchor="margin" w:y="72"/>
                          <w:spacing w:line="240" w:lineRule="auto"/>
                          <w:jc w:val="center"/>
                          <w:rPr>
                            <w:rFonts w:cs="Arial"/>
                          </w:rPr>
                        </w:pPr>
                        <w:r w:rsidRPr="00323F43">
                          <w:rPr>
                            <w:rFonts w:cs="Arial"/>
                          </w:rPr>
                          <w:t>39,1</w:t>
                        </w:r>
                      </w:p>
                    </w:tc>
                  </w:tr>
                </w:tbl>
                <w:p w:rsidR="00262878" w:rsidRDefault="00262878" w:rsidP="00262878">
                  <w:pPr>
                    <w:spacing w:line="240" w:lineRule="auto"/>
                    <w:jc w:val="both"/>
                    <w:rPr>
                      <w:rFonts w:cs="Arial"/>
                    </w:rPr>
                  </w:pPr>
                </w:p>
                <w:p w:rsidR="00215B68" w:rsidRDefault="00215B68" w:rsidP="009827CE">
                  <w:pPr>
                    <w:spacing w:line="240" w:lineRule="auto"/>
                    <w:ind w:left="-113"/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  </w:t>
                  </w:r>
                </w:p>
                <w:p w:rsidR="00111C4D" w:rsidRPr="00215B68" w:rsidRDefault="00215B68" w:rsidP="009827CE">
                  <w:pPr>
                    <w:spacing w:line="240" w:lineRule="auto"/>
                    <w:ind w:left="-113"/>
                    <w:jc w:val="both"/>
                    <w:rPr>
                      <w:rFonts w:cs="Arial"/>
                      <w:b/>
                    </w:rPr>
                  </w:pPr>
                  <w:r w:rsidRPr="00215B68">
                    <w:rPr>
                      <w:rFonts w:cs="Arial"/>
                      <w:b/>
                    </w:rPr>
                    <w:t>Zusatzinformation:</w:t>
                  </w:r>
                </w:p>
                <w:p w:rsidR="00215B68" w:rsidRDefault="00215B68" w:rsidP="00215B68">
                  <w:pPr>
                    <w:spacing w:line="240" w:lineRule="auto"/>
                    <w:jc w:val="both"/>
                  </w:pPr>
                  <w:r>
                    <w:t xml:space="preserve">Wird die Temperatur eines Stoffes erhöht, so bewegen sich die Teilchen immer heftiger und schneller. </w:t>
                  </w:r>
                  <w:r w:rsidR="003C1619">
                    <w:t xml:space="preserve">Die vermehrten </w:t>
                  </w:r>
                  <w:r>
                    <w:t>Teilchen</w:t>
                  </w:r>
                  <w:r w:rsidR="00AC0CC5">
                    <w:t>bewegungen</w:t>
                  </w:r>
                  <w:r w:rsidR="003C1619">
                    <w:t xml:space="preserve"> führen schließlich dazu, dass</w:t>
                  </w:r>
                  <w:r>
                    <w:t xml:space="preserve"> die Bindungskräfte</w:t>
                  </w:r>
                  <w:r w:rsidR="00E320B9">
                    <w:t>, die zwischen den Teilchen wirken,</w:t>
                  </w:r>
                  <w:r>
                    <w:t xml:space="preserve"> </w:t>
                  </w:r>
                  <w:r w:rsidR="00AC0CC5">
                    <w:t>geringer werden</w:t>
                  </w:r>
                  <w:r>
                    <w:t xml:space="preserve"> und </w:t>
                  </w:r>
                  <w:r w:rsidR="00AC0CC5">
                    <w:t xml:space="preserve">die Teilchen </w:t>
                  </w:r>
                  <w:r>
                    <w:t>eine höhere B</w:t>
                  </w:r>
                  <w:r>
                    <w:t>e</w:t>
                  </w:r>
                  <w:r>
                    <w:t>wegungsfreiheit er</w:t>
                  </w:r>
                  <w:r w:rsidR="00AC0CC5">
                    <w:t>halten</w:t>
                  </w:r>
                  <w:r>
                    <w:t>.</w:t>
                  </w:r>
                </w:p>
                <w:p w:rsidR="009E4EE6" w:rsidRDefault="009E4EE6" w:rsidP="00215B68">
                  <w:pPr>
                    <w:spacing w:line="240" w:lineRule="auto"/>
                    <w:jc w:val="both"/>
                  </w:pPr>
                </w:p>
                <w:p w:rsidR="002D45E6" w:rsidRPr="009827CE" w:rsidRDefault="002D45E6" w:rsidP="00FD728A">
                  <w:pPr>
                    <w:spacing w:line="240" w:lineRule="auto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9827CE" w:rsidRPr="009827CE" w:rsidRDefault="00344264" w:rsidP="009827CE">
            <w:pPr>
              <w:rPr>
                <w:vanish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137160</wp:posOffset>
                      </wp:positionV>
                      <wp:extent cx="5879465" cy="3032760"/>
                      <wp:effectExtent l="7620" t="13335" r="8890" b="11430"/>
                      <wp:wrapNone/>
                      <wp:docPr id="3" name="Rechtec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9465" cy="303276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" o:spid="_x0000_s1026" style="position:absolute;margin-left:-3.9pt;margin-top:10.8pt;width:462.95pt;height:2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" filled="f" strokecolor="#a5a5a5"/>
                  </w:pict>
                </mc:Fallback>
              </mc:AlternateContent>
            </w:r>
          </w:p>
          <w:p w:rsidR="002D45E6" w:rsidRPr="009827CE" w:rsidRDefault="002D45E6" w:rsidP="009827CE">
            <w:pPr>
              <w:spacing w:line="240" w:lineRule="auto"/>
              <w:rPr>
                <w:rFonts w:cs="Arial"/>
              </w:rPr>
            </w:pPr>
          </w:p>
        </w:tc>
      </w:tr>
    </w:tbl>
    <w:p w:rsidR="002D45E6" w:rsidRDefault="002D45E6" w:rsidP="00FD728A">
      <w:pPr>
        <w:spacing w:line="240" w:lineRule="auto"/>
        <w:jc w:val="both"/>
        <w:rPr>
          <w:rFonts w:cs="Arial"/>
        </w:rPr>
      </w:pPr>
    </w:p>
    <w:p w:rsidR="002D45E6" w:rsidRPr="003C1619" w:rsidRDefault="00FD728A" w:rsidP="00AC0CC5">
      <w:pPr>
        <w:spacing w:line="240" w:lineRule="auto"/>
        <w:jc w:val="both"/>
        <w:rPr>
          <w:rFonts w:cs="Arial"/>
          <w:b/>
        </w:rPr>
      </w:pPr>
      <w:r w:rsidRPr="003C1619">
        <w:rPr>
          <w:rFonts w:cs="Arial"/>
          <w:b/>
        </w:rPr>
        <w:t>Aufgabe:</w:t>
      </w:r>
    </w:p>
    <w:p w:rsidR="00FD728A" w:rsidRDefault="00FD728A" w:rsidP="00FD728A">
      <w:pPr>
        <w:spacing w:after="200"/>
        <w:contextualSpacing/>
        <w:rPr>
          <w:rFonts w:cs="Arial"/>
        </w:rPr>
      </w:pPr>
    </w:p>
    <w:p w:rsidR="002D45E6" w:rsidRDefault="002D45E6" w:rsidP="00FD728A">
      <w:pPr>
        <w:spacing w:after="200"/>
        <w:contextualSpacing/>
        <w:rPr>
          <w:rFonts w:cs="Arial"/>
        </w:rPr>
      </w:pPr>
      <w:r w:rsidRPr="002D45E6">
        <w:rPr>
          <w:rFonts w:cs="Arial"/>
          <w:b/>
        </w:rPr>
        <w:t>Interpr</w:t>
      </w:r>
      <w:r w:rsidR="00FD728A">
        <w:rPr>
          <w:rFonts w:cs="Arial"/>
          <w:b/>
        </w:rPr>
        <w:t>e</w:t>
      </w:r>
      <w:r w:rsidRPr="002D45E6">
        <w:rPr>
          <w:rFonts w:cs="Arial"/>
          <w:b/>
        </w:rPr>
        <w:t xml:space="preserve">tiere </w:t>
      </w:r>
      <w:r w:rsidRPr="002D45E6">
        <w:rPr>
          <w:rFonts w:cs="Arial"/>
        </w:rPr>
        <w:t>das Untersuchungsergebnis.</w:t>
      </w:r>
      <w:r w:rsidR="004E420A">
        <w:rPr>
          <w:rFonts w:cs="Arial"/>
        </w:rPr>
        <w:t xml:space="preserve"> Werte dazu die </w:t>
      </w:r>
      <w:r w:rsidR="00AC0CC5">
        <w:rPr>
          <w:rFonts w:cs="Arial"/>
        </w:rPr>
        <w:t>Mess</w:t>
      </w:r>
      <w:r w:rsidR="004E420A">
        <w:rPr>
          <w:rFonts w:cs="Arial"/>
        </w:rPr>
        <w:t>ergebnisse aus und begrü</w:t>
      </w:r>
      <w:r w:rsidR="004E420A">
        <w:rPr>
          <w:rFonts w:cs="Arial"/>
        </w:rPr>
        <w:t>n</w:t>
      </w:r>
      <w:r w:rsidR="004E420A">
        <w:rPr>
          <w:rFonts w:cs="Arial"/>
        </w:rPr>
        <w:t>de diese anschließend.</w:t>
      </w:r>
    </w:p>
    <w:p w:rsidR="00FD728A" w:rsidRDefault="00FD728A" w:rsidP="003C1619">
      <w:pPr>
        <w:spacing w:after="200" w:line="360" w:lineRule="auto"/>
        <w:rPr>
          <w:rFonts w:cs="Arial"/>
        </w:rPr>
      </w:pPr>
    </w:p>
    <w:p w:rsidR="00AC0CC5" w:rsidRDefault="00AC0CC5" w:rsidP="003C1619">
      <w:pPr>
        <w:spacing w:after="200" w:line="360" w:lineRule="auto"/>
        <w:rPr>
          <w:rFonts w:cs="Arial"/>
        </w:rPr>
      </w:pPr>
    </w:p>
    <w:p w:rsidR="00AC0CC5" w:rsidRDefault="00AC0CC5" w:rsidP="003C1619">
      <w:pPr>
        <w:spacing w:after="200" w:line="360" w:lineRule="auto"/>
        <w:rPr>
          <w:rFonts w:cs="Arial"/>
        </w:rPr>
      </w:pPr>
    </w:p>
    <w:p w:rsidR="00AC0CC5" w:rsidRDefault="00AC0CC5" w:rsidP="003C1619">
      <w:pPr>
        <w:spacing w:after="200" w:line="360" w:lineRule="auto"/>
        <w:rPr>
          <w:rFonts w:cs="Arial"/>
        </w:rPr>
      </w:pPr>
    </w:p>
    <w:p w:rsidR="00AC0CC5" w:rsidRDefault="00AC0CC5" w:rsidP="003C1619">
      <w:pPr>
        <w:spacing w:after="200" w:line="360" w:lineRule="auto"/>
        <w:rPr>
          <w:rFonts w:cs="Arial"/>
        </w:rPr>
      </w:pPr>
    </w:p>
    <w:p w:rsidR="00AC0CC5" w:rsidRDefault="00AC0CC5" w:rsidP="003C1619">
      <w:pPr>
        <w:spacing w:after="200" w:line="360" w:lineRule="auto"/>
        <w:rPr>
          <w:rFonts w:cs="Arial"/>
        </w:rPr>
      </w:pPr>
    </w:p>
    <w:p w:rsidR="00FD728A" w:rsidRDefault="00FD728A" w:rsidP="0082711A">
      <w:pPr>
        <w:spacing w:after="200" w:line="360" w:lineRule="auto"/>
        <w:rPr>
          <w:rFonts w:cs="Arial"/>
        </w:rPr>
      </w:pPr>
    </w:p>
    <w:p w:rsidR="0088796E" w:rsidRPr="002D45E6" w:rsidRDefault="0088796E" w:rsidP="0082711A">
      <w:pPr>
        <w:spacing w:after="200" w:line="360" w:lineRule="auto"/>
        <w:rPr>
          <w:rFonts w:cs="Arial"/>
        </w:rPr>
      </w:pPr>
    </w:p>
    <w:p w:rsidR="00C64805" w:rsidRPr="002D45E6" w:rsidRDefault="00344264" w:rsidP="002D45E6">
      <w:pPr>
        <w:spacing w:before="60" w:after="60"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3010" cy="425450"/>
            <wp:effectExtent l="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5E6">
        <w:rPr>
          <w:noProof/>
          <w:lang w:eastAsia="de-DE"/>
        </w:rPr>
        <w:t xml:space="preserve"> </w:t>
      </w:r>
      <w:r>
        <w:rPr>
          <w:noProof/>
          <w:lang w:eastAsia="de-DE"/>
        </w:rPr>
        <w:t>SenBJS – Sandra Benad</w:t>
      </w:r>
      <w:r w:rsidR="00937B60">
        <w:rPr>
          <w:b/>
        </w:rPr>
        <w:br w:type="page"/>
      </w:r>
      <w:r w:rsidR="00F5187C" w:rsidRPr="008119C5">
        <w:rPr>
          <w:b/>
        </w:rPr>
        <w:lastRenderedPageBreak/>
        <w:t>Erwartungshorizont</w:t>
      </w:r>
      <w:r w:rsidR="00C64805">
        <w:rPr>
          <w:b/>
        </w:rPr>
        <w:t>:</w:t>
      </w:r>
    </w:p>
    <w:p w:rsidR="00AC0CC5" w:rsidRDefault="00AC0CC5" w:rsidP="00AC0CC5">
      <w:pPr>
        <w:spacing w:after="200"/>
        <w:contextualSpacing/>
        <w:rPr>
          <w:rFonts w:cs="Arial"/>
          <w:b/>
        </w:rPr>
      </w:pPr>
    </w:p>
    <w:p w:rsidR="00AC0CC5" w:rsidRDefault="00AC0CC5" w:rsidP="00AC0CC5">
      <w:pPr>
        <w:spacing w:after="200"/>
        <w:contextualSpacing/>
        <w:rPr>
          <w:rFonts w:cs="Arial"/>
        </w:rPr>
      </w:pPr>
      <w:r w:rsidRPr="002D45E6">
        <w:rPr>
          <w:rFonts w:cs="Arial"/>
          <w:b/>
        </w:rPr>
        <w:t>Interpr</w:t>
      </w:r>
      <w:r>
        <w:rPr>
          <w:rFonts w:cs="Arial"/>
          <w:b/>
        </w:rPr>
        <w:t>e</w:t>
      </w:r>
      <w:r w:rsidRPr="002D45E6">
        <w:rPr>
          <w:rFonts w:cs="Arial"/>
          <w:b/>
        </w:rPr>
        <w:t xml:space="preserve">tiere </w:t>
      </w:r>
      <w:r w:rsidRPr="002D45E6">
        <w:rPr>
          <w:rFonts w:cs="Arial"/>
        </w:rPr>
        <w:t>das Untersuchungsergebnis.</w:t>
      </w:r>
      <w:r>
        <w:rPr>
          <w:rFonts w:cs="Arial"/>
        </w:rPr>
        <w:t xml:space="preserve"> Werte dazu die Messergebnisse aus und begrü</w:t>
      </w:r>
      <w:r>
        <w:rPr>
          <w:rFonts w:cs="Arial"/>
        </w:rPr>
        <w:t>n</w:t>
      </w:r>
      <w:r>
        <w:rPr>
          <w:rFonts w:cs="Arial"/>
        </w:rPr>
        <w:t>de diese anschließend.</w:t>
      </w:r>
    </w:p>
    <w:p w:rsidR="00AC0CC5" w:rsidRDefault="00AC0CC5" w:rsidP="00AC0CC5">
      <w:pPr>
        <w:spacing w:after="200"/>
        <w:contextualSpacing/>
        <w:rPr>
          <w:rFonts w:cs="Arial"/>
        </w:rPr>
      </w:pPr>
    </w:p>
    <w:p w:rsidR="001234E6" w:rsidRPr="00AC0CC5" w:rsidRDefault="004E420A" w:rsidP="00AC0CC5">
      <w:pPr>
        <w:numPr>
          <w:ilvl w:val="0"/>
          <w:numId w:val="21"/>
        </w:numPr>
        <w:spacing w:after="120" w:line="240" w:lineRule="auto"/>
        <w:ind w:left="360" w:right="-2"/>
        <w:jc w:val="both"/>
        <w:rPr>
          <w:rFonts w:cs="Arial"/>
        </w:rPr>
      </w:pPr>
      <w:r w:rsidRPr="00AC0CC5">
        <w:rPr>
          <w:rFonts w:cs="Arial"/>
        </w:rPr>
        <w:t>Die Tabelle zeigt, dass mit steigender Temperatur die Menge des löslichen Kochsa</w:t>
      </w:r>
      <w:r w:rsidRPr="00AC0CC5">
        <w:rPr>
          <w:rFonts w:cs="Arial"/>
        </w:rPr>
        <w:t>l</w:t>
      </w:r>
      <w:r w:rsidRPr="00AC0CC5">
        <w:rPr>
          <w:rFonts w:cs="Arial"/>
        </w:rPr>
        <w:t>z</w:t>
      </w:r>
      <w:r w:rsidR="000C1558" w:rsidRPr="00AC0CC5">
        <w:rPr>
          <w:rFonts w:cs="Arial"/>
        </w:rPr>
        <w:t>es</w:t>
      </w:r>
      <w:r w:rsidRPr="00AC0CC5">
        <w:rPr>
          <w:rFonts w:cs="Arial"/>
        </w:rPr>
        <w:t xml:space="preserve"> minimal zunimmt</w:t>
      </w:r>
      <w:r w:rsidR="002D45E6" w:rsidRPr="00AC0CC5">
        <w:rPr>
          <w:rFonts w:cs="Arial"/>
        </w:rPr>
        <w:t>.</w:t>
      </w:r>
      <w:r w:rsidR="00FD728A" w:rsidRPr="00AC0CC5">
        <w:rPr>
          <w:rFonts w:cs="Arial"/>
        </w:rPr>
        <w:t xml:space="preserve"> </w:t>
      </w:r>
      <w:r w:rsidR="003C1619" w:rsidRPr="00AC0CC5">
        <w:rPr>
          <w:rFonts w:cs="Arial"/>
        </w:rPr>
        <w:t>Die Temperatur wirkt sich hierbei auf zwei verschiedene A</w:t>
      </w:r>
      <w:r w:rsidR="003C1619" w:rsidRPr="00AC0CC5">
        <w:rPr>
          <w:rFonts w:cs="Arial"/>
        </w:rPr>
        <w:t>s</w:t>
      </w:r>
      <w:r w:rsidR="003C1619" w:rsidRPr="00AC0CC5">
        <w:rPr>
          <w:rFonts w:cs="Arial"/>
        </w:rPr>
        <w:t>pekte aus.</w:t>
      </w:r>
    </w:p>
    <w:p w:rsidR="001234E6" w:rsidRPr="00AC0CC5" w:rsidRDefault="000C1558" w:rsidP="00AC0CC5">
      <w:pPr>
        <w:numPr>
          <w:ilvl w:val="0"/>
          <w:numId w:val="21"/>
        </w:numPr>
        <w:spacing w:after="120" w:line="240" w:lineRule="auto"/>
        <w:ind w:left="360" w:right="-2"/>
        <w:jc w:val="both"/>
        <w:rPr>
          <w:rFonts w:cs="Arial"/>
        </w:rPr>
      </w:pPr>
      <w:r w:rsidRPr="00AC0CC5">
        <w:rPr>
          <w:rFonts w:cs="Arial"/>
        </w:rPr>
        <w:t>Zum einen beschleu</w:t>
      </w:r>
      <w:r w:rsidR="001234E6" w:rsidRPr="00AC0CC5">
        <w:rPr>
          <w:rFonts w:cs="Arial"/>
        </w:rPr>
        <w:t xml:space="preserve">nigt es durch </w:t>
      </w:r>
      <w:r w:rsidR="00E320B9">
        <w:rPr>
          <w:rFonts w:cs="Arial"/>
        </w:rPr>
        <w:t>erhöhte Temperatur</w:t>
      </w:r>
      <w:r w:rsidR="001234E6" w:rsidRPr="00AC0CC5">
        <w:rPr>
          <w:rFonts w:cs="Arial"/>
        </w:rPr>
        <w:t xml:space="preserve"> die Bewegungen der Teilchen. Dies führt wiederum dazu, dass die</w:t>
      </w:r>
      <w:r w:rsidRPr="00AC0CC5">
        <w:rPr>
          <w:rFonts w:cs="Arial"/>
        </w:rPr>
        <w:t xml:space="preserve"> Wasser</w:t>
      </w:r>
      <w:r w:rsidR="00E320B9">
        <w:rPr>
          <w:rFonts w:cs="Arial"/>
        </w:rPr>
        <w:t>-M</w:t>
      </w:r>
      <w:r w:rsidRPr="00AC0CC5">
        <w:rPr>
          <w:rFonts w:cs="Arial"/>
        </w:rPr>
        <w:t xml:space="preserve">oleküle die Ionen </w:t>
      </w:r>
      <w:r w:rsidR="001234E6" w:rsidRPr="00AC0CC5">
        <w:rPr>
          <w:rFonts w:cs="Arial"/>
        </w:rPr>
        <w:t xml:space="preserve">schneller </w:t>
      </w:r>
      <w:r w:rsidRPr="00AC0CC5">
        <w:rPr>
          <w:rFonts w:cs="Arial"/>
        </w:rPr>
        <w:t>aus dem Kri</w:t>
      </w:r>
      <w:r w:rsidRPr="00AC0CC5">
        <w:rPr>
          <w:rFonts w:cs="Arial"/>
        </w:rPr>
        <w:t>s</w:t>
      </w:r>
      <w:r w:rsidRPr="00AC0CC5">
        <w:rPr>
          <w:rFonts w:cs="Arial"/>
        </w:rPr>
        <w:t xml:space="preserve">tallgitter herauslösen und sich </w:t>
      </w:r>
      <w:r w:rsidR="001234E6" w:rsidRPr="00AC0CC5">
        <w:rPr>
          <w:rFonts w:cs="Arial"/>
        </w:rPr>
        <w:t xml:space="preserve">die Teilchen </w:t>
      </w:r>
      <w:r w:rsidRPr="00AC0CC5">
        <w:rPr>
          <w:rFonts w:cs="Arial"/>
        </w:rPr>
        <w:t>gleichmäßiger im Gefäß ve</w:t>
      </w:r>
      <w:r w:rsidRPr="00AC0CC5">
        <w:rPr>
          <w:rFonts w:cs="Arial"/>
        </w:rPr>
        <w:t>r</w:t>
      </w:r>
      <w:r w:rsidRPr="00AC0CC5">
        <w:rPr>
          <w:rFonts w:cs="Arial"/>
        </w:rPr>
        <w:t>teilen können.</w:t>
      </w:r>
    </w:p>
    <w:p w:rsidR="002D45E6" w:rsidRPr="00AC0CC5" w:rsidRDefault="000C1558" w:rsidP="00AC0CC5">
      <w:pPr>
        <w:numPr>
          <w:ilvl w:val="0"/>
          <w:numId w:val="21"/>
        </w:numPr>
        <w:spacing w:after="120" w:line="240" w:lineRule="auto"/>
        <w:ind w:left="360" w:right="-2"/>
        <w:jc w:val="both"/>
        <w:rPr>
          <w:rFonts w:cs="Arial"/>
        </w:rPr>
      </w:pPr>
      <w:r w:rsidRPr="00AC0CC5">
        <w:rPr>
          <w:rFonts w:cs="Arial"/>
        </w:rPr>
        <w:t>Zum anderen können die elektrostatischen Anziehungskräfte</w:t>
      </w:r>
      <w:r w:rsidR="001234E6" w:rsidRPr="00AC0CC5">
        <w:rPr>
          <w:rFonts w:cs="Arial"/>
        </w:rPr>
        <w:t xml:space="preserve"> zwischen den Ionen des Salz</w:t>
      </w:r>
      <w:r w:rsidR="009E4EE6">
        <w:rPr>
          <w:rFonts w:cs="Arial"/>
        </w:rPr>
        <w:t>g</w:t>
      </w:r>
      <w:r w:rsidR="00E320B9">
        <w:rPr>
          <w:rFonts w:cs="Arial"/>
        </w:rPr>
        <w:t>itters</w:t>
      </w:r>
      <w:r w:rsidR="001234E6" w:rsidRPr="00AC0CC5">
        <w:rPr>
          <w:rFonts w:cs="Arial"/>
        </w:rPr>
        <w:t xml:space="preserve"> durch die erhöhte Temperatur</w:t>
      </w:r>
      <w:r w:rsidRPr="00AC0CC5">
        <w:rPr>
          <w:rFonts w:cs="Arial"/>
        </w:rPr>
        <w:t xml:space="preserve"> schneller überwunden we</w:t>
      </w:r>
      <w:r w:rsidRPr="00AC0CC5">
        <w:rPr>
          <w:rFonts w:cs="Arial"/>
        </w:rPr>
        <w:t>r</w:t>
      </w:r>
      <w:r w:rsidRPr="00AC0CC5">
        <w:rPr>
          <w:rFonts w:cs="Arial"/>
        </w:rPr>
        <w:t>den.</w:t>
      </w:r>
    </w:p>
    <w:p w:rsidR="002D45E6" w:rsidRPr="00AC0CC5" w:rsidRDefault="002D45E6" w:rsidP="00AC0CC5">
      <w:pPr>
        <w:spacing w:after="120" w:line="240" w:lineRule="auto"/>
        <w:ind w:left="348" w:firstLine="12"/>
        <w:rPr>
          <w:rFonts w:cs="Arial"/>
        </w:rPr>
      </w:pPr>
    </w:p>
    <w:p w:rsidR="002D45E6" w:rsidRPr="002D45E6" w:rsidRDefault="002D45E6" w:rsidP="002D45E6">
      <w:pPr>
        <w:spacing w:after="200"/>
        <w:jc w:val="both"/>
        <w:rPr>
          <w:rFonts w:cs="Arial"/>
          <w:b/>
        </w:rPr>
      </w:pPr>
    </w:p>
    <w:p w:rsidR="002D45E6" w:rsidRPr="002D45E6" w:rsidRDefault="002D45E6" w:rsidP="002D45E6">
      <w:pPr>
        <w:spacing w:after="200"/>
        <w:jc w:val="both"/>
        <w:rPr>
          <w:rFonts w:cs="Arial"/>
          <w:b/>
        </w:rPr>
      </w:pPr>
    </w:p>
    <w:p w:rsidR="00973929" w:rsidRPr="00973929" w:rsidRDefault="00973929" w:rsidP="00973929">
      <w:pPr>
        <w:spacing w:after="200"/>
        <w:ind w:left="360"/>
        <w:jc w:val="both"/>
        <w:rPr>
          <w:rFonts w:cs="Arial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8796E" w:rsidRDefault="0088796E" w:rsidP="0088796E">
      <w:pPr>
        <w:spacing w:line="240" w:lineRule="auto"/>
        <w:rPr>
          <w:noProof/>
          <w:lang w:eastAsia="de-DE"/>
        </w:rPr>
      </w:pPr>
    </w:p>
    <w:p w:rsidR="008119C5" w:rsidRPr="00E16B27" w:rsidRDefault="00344264" w:rsidP="0088796E">
      <w:pPr>
        <w:spacing w:line="240" w:lineRule="auto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96E">
        <w:rPr>
          <w:noProof/>
          <w:lang w:eastAsia="de-DE"/>
        </w:rPr>
        <w:t xml:space="preserve"> </w:t>
      </w:r>
      <w:r>
        <w:rPr>
          <w:noProof/>
          <w:lang w:eastAsia="de-DE"/>
        </w:rPr>
        <w:t>SenBJS – Sandra Benad</w:t>
      </w:r>
    </w:p>
    <w:sectPr w:rsidR="008119C5" w:rsidRPr="00E16B27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70" w:rsidRDefault="00412E70" w:rsidP="00837EC7">
      <w:pPr>
        <w:spacing w:line="240" w:lineRule="auto"/>
      </w:pPr>
      <w:r>
        <w:separator/>
      </w:r>
    </w:p>
  </w:endnote>
  <w:endnote w:type="continuationSeparator" w:id="0">
    <w:p w:rsidR="00412E70" w:rsidRDefault="00412E70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C5" w:rsidRDefault="00AC0CC5" w:rsidP="00937B60">
    <w:pPr>
      <w:pStyle w:val="Fuzeile"/>
      <w:tabs>
        <w:tab w:val="clear" w:pos="4536"/>
      </w:tabs>
      <w:jc w:val="cen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44264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C5" w:rsidRDefault="00AC0CC5" w:rsidP="00937B60">
    <w:pPr>
      <w:pStyle w:val="Fuzeile"/>
      <w:tabs>
        <w:tab w:val="clear" w:pos="4536"/>
      </w:tabs>
      <w:jc w:val="cen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4426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70" w:rsidRDefault="00412E70" w:rsidP="00837EC7">
      <w:pPr>
        <w:spacing w:line="240" w:lineRule="auto"/>
      </w:pPr>
      <w:r>
        <w:separator/>
      </w:r>
    </w:p>
  </w:footnote>
  <w:footnote w:type="continuationSeparator" w:id="0">
    <w:p w:rsidR="00412E70" w:rsidRDefault="00412E70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40414"/>
    <w:multiLevelType w:val="hybridMultilevel"/>
    <w:tmpl w:val="E4C020D4"/>
    <w:lvl w:ilvl="0" w:tplc="85FA38EA">
      <w:start w:val="5"/>
      <w:numFmt w:val="bullet"/>
      <w:lvlText w:val="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01E5A"/>
    <w:multiLevelType w:val="hybridMultilevel"/>
    <w:tmpl w:val="5790A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46E42"/>
    <w:multiLevelType w:val="hybridMultilevel"/>
    <w:tmpl w:val="8FC066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C11B0"/>
    <w:multiLevelType w:val="hybridMultilevel"/>
    <w:tmpl w:val="DBD4F8EC"/>
    <w:lvl w:ilvl="0" w:tplc="1A9C13E6">
      <w:start w:val="7"/>
      <w:numFmt w:val="bullet"/>
      <w:lvlText w:val="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D594C"/>
    <w:multiLevelType w:val="hybridMultilevel"/>
    <w:tmpl w:val="FA3A4122"/>
    <w:lvl w:ilvl="0" w:tplc="F45E5700">
      <w:start w:val="5"/>
      <w:numFmt w:val="bullet"/>
      <w:lvlText w:val="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954CA"/>
    <w:multiLevelType w:val="hybridMultilevel"/>
    <w:tmpl w:val="41C462A6"/>
    <w:lvl w:ilvl="0" w:tplc="0BF0733C">
      <w:start w:val="7"/>
      <w:numFmt w:val="bullet"/>
      <w:lvlText w:val="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06543"/>
    <w:multiLevelType w:val="hybridMultilevel"/>
    <w:tmpl w:val="8FC066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0553C"/>
    <w:multiLevelType w:val="hybridMultilevel"/>
    <w:tmpl w:val="8AE85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A0324"/>
    <w:multiLevelType w:val="hybridMultilevel"/>
    <w:tmpl w:val="7CA085D2"/>
    <w:lvl w:ilvl="0" w:tplc="5972C214">
      <w:start w:val="7"/>
      <w:numFmt w:val="bullet"/>
      <w:lvlText w:val=""/>
      <w:lvlJc w:val="left"/>
      <w:pPr>
        <w:ind w:left="1080" w:hanging="360"/>
      </w:pPr>
      <w:rPr>
        <w:rFonts w:ascii="Wingdings" w:hAnsi="Wingdings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FD5FFD"/>
    <w:multiLevelType w:val="hybridMultilevel"/>
    <w:tmpl w:val="B5B8D522"/>
    <w:lvl w:ilvl="0" w:tplc="0A42C59E">
      <w:start w:val="7"/>
      <w:numFmt w:val="bullet"/>
      <w:lvlText w:val=""/>
      <w:lvlJc w:val="left"/>
      <w:pPr>
        <w:ind w:left="720" w:hanging="360"/>
      </w:pPr>
      <w:rPr>
        <w:rFonts w:ascii="Wingdings" w:eastAsia="Calibri" w:hAnsi="Wingdings" w:cs="Times New Roman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9"/>
  </w:num>
  <w:num w:numId="5">
    <w:abstractNumId w:val="1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8"/>
  </w:num>
  <w:num w:numId="12">
    <w:abstractNumId w:val="3"/>
  </w:num>
  <w:num w:numId="13">
    <w:abstractNumId w:val="10"/>
  </w:num>
  <w:num w:numId="14">
    <w:abstractNumId w:val="7"/>
  </w:num>
  <w:num w:numId="15">
    <w:abstractNumId w:val="19"/>
  </w:num>
  <w:num w:numId="16">
    <w:abstractNumId w:val="16"/>
  </w:num>
  <w:num w:numId="17">
    <w:abstractNumId w:val="15"/>
  </w:num>
  <w:num w:numId="18">
    <w:abstractNumId w:val="12"/>
  </w:num>
  <w:num w:numId="19">
    <w:abstractNumId w:val="6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9C"/>
    <w:rsid w:val="0004165F"/>
    <w:rsid w:val="00066191"/>
    <w:rsid w:val="000905B2"/>
    <w:rsid w:val="000A2A61"/>
    <w:rsid w:val="000A4B8B"/>
    <w:rsid w:val="000C1558"/>
    <w:rsid w:val="00111C4D"/>
    <w:rsid w:val="001234E6"/>
    <w:rsid w:val="00133562"/>
    <w:rsid w:val="00136172"/>
    <w:rsid w:val="00142DFA"/>
    <w:rsid w:val="00154FB0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4428"/>
    <w:rsid w:val="00206E1F"/>
    <w:rsid w:val="00215B68"/>
    <w:rsid w:val="002348B8"/>
    <w:rsid w:val="00262878"/>
    <w:rsid w:val="002A04B8"/>
    <w:rsid w:val="002A2294"/>
    <w:rsid w:val="002B14FC"/>
    <w:rsid w:val="002D1DC4"/>
    <w:rsid w:val="002D3F70"/>
    <w:rsid w:val="002D45E6"/>
    <w:rsid w:val="002D55C9"/>
    <w:rsid w:val="002E1682"/>
    <w:rsid w:val="002F3C8C"/>
    <w:rsid w:val="00300E1A"/>
    <w:rsid w:val="00321743"/>
    <w:rsid w:val="00323F43"/>
    <w:rsid w:val="00334567"/>
    <w:rsid w:val="00344264"/>
    <w:rsid w:val="00363539"/>
    <w:rsid w:val="00381AB2"/>
    <w:rsid w:val="003A50A8"/>
    <w:rsid w:val="003C1072"/>
    <w:rsid w:val="003C1619"/>
    <w:rsid w:val="003F4234"/>
    <w:rsid w:val="0040115E"/>
    <w:rsid w:val="004072A0"/>
    <w:rsid w:val="00411347"/>
    <w:rsid w:val="00412E70"/>
    <w:rsid w:val="00445672"/>
    <w:rsid w:val="00456528"/>
    <w:rsid w:val="00467ABE"/>
    <w:rsid w:val="004721DB"/>
    <w:rsid w:val="004851BE"/>
    <w:rsid w:val="0049671A"/>
    <w:rsid w:val="00496D76"/>
    <w:rsid w:val="004C485B"/>
    <w:rsid w:val="004C5D31"/>
    <w:rsid w:val="004E420A"/>
    <w:rsid w:val="004F3656"/>
    <w:rsid w:val="005052CB"/>
    <w:rsid w:val="00537A2A"/>
    <w:rsid w:val="005960DF"/>
    <w:rsid w:val="005C16CC"/>
    <w:rsid w:val="005D03D5"/>
    <w:rsid w:val="005F1ACA"/>
    <w:rsid w:val="00677337"/>
    <w:rsid w:val="006A22F8"/>
    <w:rsid w:val="006A599E"/>
    <w:rsid w:val="006C713F"/>
    <w:rsid w:val="006D084A"/>
    <w:rsid w:val="006D5EEA"/>
    <w:rsid w:val="006D719E"/>
    <w:rsid w:val="006F718F"/>
    <w:rsid w:val="007024FB"/>
    <w:rsid w:val="007357B6"/>
    <w:rsid w:val="007621DD"/>
    <w:rsid w:val="00771C9C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26E6C"/>
    <w:rsid w:val="0082711A"/>
    <w:rsid w:val="00837EC7"/>
    <w:rsid w:val="0088796E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73929"/>
    <w:rsid w:val="009827CE"/>
    <w:rsid w:val="009A1D85"/>
    <w:rsid w:val="009A6FF5"/>
    <w:rsid w:val="009E4EE6"/>
    <w:rsid w:val="009F3956"/>
    <w:rsid w:val="009F42E4"/>
    <w:rsid w:val="00A20523"/>
    <w:rsid w:val="00A366CC"/>
    <w:rsid w:val="00A57E9B"/>
    <w:rsid w:val="00A804F8"/>
    <w:rsid w:val="00A828A1"/>
    <w:rsid w:val="00A973E5"/>
    <w:rsid w:val="00AB509B"/>
    <w:rsid w:val="00AC0CC5"/>
    <w:rsid w:val="00AD12A6"/>
    <w:rsid w:val="00AD39E6"/>
    <w:rsid w:val="00AE2D84"/>
    <w:rsid w:val="00AE3A55"/>
    <w:rsid w:val="00B542E5"/>
    <w:rsid w:val="00B74D9C"/>
    <w:rsid w:val="00B94BD8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54FE8"/>
    <w:rsid w:val="00C64805"/>
    <w:rsid w:val="00C6552D"/>
    <w:rsid w:val="00C65F9B"/>
    <w:rsid w:val="00CA26AC"/>
    <w:rsid w:val="00CB3549"/>
    <w:rsid w:val="00D0707C"/>
    <w:rsid w:val="00D226DE"/>
    <w:rsid w:val="00D26617"/>
    <w:rsid w:val="00D270BC"/>
    <w:rsid w:val="00D41BE0"/>
    <w:rsid w:val="00DC762A"/>
    <w:rsid w:val="00DD0C30"/>
    <w:rsid w:val="00DF308F"/>
    <w:rsid w:val="00E16A0E"/>
    <w:rsid w:val="00E16B27"/>
    <w:rsid w:val="00E320B9"/>
    <w:rsid w:val="00E363A5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D2368"/>
    <w:rsid w:val="00F17F92"/>
    <w:rsid w:val="00F2257F"/>
    <w:rsid w:val="00F372D1"/>
    <w:rsid w:val="00F5187C"/>
    <w:rsid w:val="00F86862"/>
    <w:rsid w:val="00F93BE7"/>
    <w:rsid w:val="00FA0BB9"/>
    <w:rsid w:val="00FD728A"/>
    <w:rsid w:val="00FF0764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ellengitternetz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val="x-none"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table" w:customStyle="1" w:styleId="Tabellenraster1">
    <w:name w:val="Tabellenraster1"/>
    <w:basedOn w:val="NormaleTabelle"/>
    <w:next w:val="Tabellengitternetz"/>
    <w:uiPriority w:val="59"/>
    <w:rsid w:val="00973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gitternetz"/>
    <w:uiPriority w:val="59"/>
    <w:rsid w:val="00973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gitternetz"/>
    <w:uiPriority w:val="59"/>
    <w:rsid w:val="004721D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gitternetz"/>
    <w:uiPriority w:val="59"/>
    <w:rsid w:val="00C648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gitternetz"/>
    <w:uiPriority w:val="59"/>
    <w:rsid w:val="00C648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gitternetz"/>
    <w:uiPriority w:val="59"/>
    <w:rsid w:val="002D45E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gitternetz"/>
    <w:uiPriority w:val="59"/>
    <w:rsid w:val="002D45E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gitternetz"/>
    <w:uiPriority w:val="59"/>
    <w:rsid w:val="002D45E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ellengitternetz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val="x-none"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table" w:customStyle="1" w:styleId="Tabellenraster1">
    <w:name w:val="Tabellenraster1"/>
    <w:basedOn w:val="NormaleTabelle"/>
    <w:next w:val="Tabellengitternetz"/>
    <w:uiPriority w:val="59"/>
    <w:rsid w:val="00973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gitternetz"/>
    <w:uiPriority w:val="59"/>
    <w:rsid w:val="00973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gitternetz"/>
    <w:uiPriority w:val="59"/>
    <w:rsid w:val="004721D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gitternetz"/>
    <w:uiPriority w:val="59"/>
    <w:rsid w:val="00C648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gitternetz"/>
    <w:uiPriority w:val="59"/>
    <w:rsid w:val="00C648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gitternetz"/>
    <w:uiPriority w:val="59"/>
    <w:rsid w:val="002D45E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gitternetz"/>
    <w:uiPriority w:val="59"/>
    <w:rsid w:val="002D45E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gitternetz"/>
    <w:uiPriority w:val="59"/>
    <w:rsid w:val="002D45E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AD281-8EB7-4F8B-986B-41463025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362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Foerster</cp:lastModifiedBy>
  <cp:revision>2</cp:revision>
  <dcterms:created xsi:type="dcterms:W3CDTF">2017-12-06T10:52:00Z</dcterms:created>
  <dcterms:modified xsi:type="dcterms:W3CDTF">2017-12-06T10:52:00Z</dcterms:modified>
</cp:coreProperties>
</file>