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757959">
      <w:pPr>
        <w:suppressAutoHyphens/>
        <w:spacing w:after="120"/>
        <w:jc w:val="center"/>
        <w:rPr>
          <w:sz w:val="20"/>
          <w:szCs w:val="20"/>
        </w:rPr>
      </w:pPr>
    </w:p>
    <w:p w:rsidR="007C1D1C" w:rsidRDefault="002D3F70" w:rsidP="0075795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757959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75795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757959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57959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757959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F90B50">
              <w:t>E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5795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757959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57959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757959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75795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F90B50" w:rsidP="00757959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75795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757959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F90B50">
              <w:t>in medialen Sehtexten wichtige Inhalte zu vertrauten Themen mit Bezug zum Alltag und zu Unterrichtsinhalten 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75795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111218" w:rsidP="00757959">
            <w:pPr>
              <w:tabs>
                <w:tab w:val="left" w:pos="1190"/>
              </w:tabs>
              <w:suppressAutoHyphens/>
              <w:spacing w:before="200" w:after="200"/>
            </w:pPr>
            <w:r>
              <w:t>3.7 Gemeinschaft und Geschichte 7/8 Gehörlosen- und Gebärdensprachgemeinschaft – Vielfalt der Menschen mit Hörbehinderung: unterschiedliche Lebenswege und Entscheidungen; Vergleich von vertrautem Verhalten und eigenen kulturellen Werten mit fremden Verhalten und andersartigen kulturellen Werten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75795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A3FEE" w:rsidRDefault="009A3FEE" w:rsidP="00757959">
            <w:pPr>
              <w:tabs>
                <w:tab w:val="left" w:pos="1190"/>
              </w:tabs>
              <w:suppressAutoHyphens/>
              <w:spacing w:before="200" w:after="200"/>
            </w:pPr>
            <w:bookmarkStart w:id="0" w:name="_GoBack"/>
            <w:bookmarkEnd w:id="0"/>
            <w:r>
              <w:t>BC Sprachbildung</w:t>
            </w:r>
          </w:p>
          <w:p w:rsidR="00FF3510" w:rsidRPr="00202F49" w:rsidRDefault="009A3FEE" w:rsidP="00757959">
            <w:pPr>
              <w:tabs>
                <w:tab w:val="left" w:pos="1190"/>
              </w:tabs>
              <w:suppressAutoHyphens/>
              <w:spacing w:before="200" w:after="200"/>
            </w:pPr>
            <w:r>
              <w:t>1.3.1 Rezeption/Hörverstehen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75795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85193" w:rsidRPr="00202F49" w:rsidRDefault="00785193" w:rsidP="00757959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Einzelinformationen aus medial vermittelten Texten aufgabengeleitet ermitteln und wiedergeben.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757959">
            <w:pPr>
              <w:suppressAutoHyphens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57959">
            <w:pPr>
              <w:tabs>
                <w:tab w:val="left" w:pos="840"/>
              </w:tabs>
              <w:suppressAutoHyphens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757959">
            <w:pPr>
              <w:suppressAutoHyphens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57959">
            <w:pPr>
              <w:tabs>
                <w:tab w:val="left" w:pos="1735"/>
              </w:tabs>
              <w:suppressAutoHyphens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757959">
            <w:pPr>
              <w:suppressAutoHyphens/>
              <w:spacing w:before="20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57959">
            <w:pPr>
              <w:suppressAutoHyphens/>
              <w:spacing w:before="20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57959">
            <w:pPr>
              <w:suppressAutoHyphens/>
              <w:spacing w:before="20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57959">
            <w:pPr>
              <w:suppressAutoHyphens/>
              <w:spacing w:before="20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F90B50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757959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757959">
            <w:pPr>
              <w:suppressAutoHyphens/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75795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757959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757959">
      <w:pPr>
        <w:suppressAutoHyphens/>
        <w:spacing w:before="60" w:after="60"/>
        <w:rPr>
          <w:b/>
        </w:rPr>
      </w:pPr>
    </w:p>
    <w:p w:rsidR="00BB694F" w:rsidRDefault="001B64C5" w:rsidP="00757959">
      <w:pPr>
        <w:suppressAutoHyphens/>
        <w:spacing w:before="60" w:after="60"/>
        <w:rPr>
          <w:bCs/>
        </w:rPr>
      </w:pPr>
      <w:r>
        <w:t xml:space="preserve">Die Schülerinnen und </w:t>
      </w:r>
      <w:r w:rsidR="00E71D79">
        <w:t xml:space="preserve">Schüler </w:t>
      </w:r>
      <w:r>
        <w:t xml:space="preserve">sehen eine gebärdensprachliche Fassung </w:t>
      </w:r>
      <w:r w:rsidR="00A15AD2">
        <w:t>von</w:t>
      </w:r>
      <w:r w:rsidR="00E0089A">
        <w:t xml:space="preserve"> „</w:t>
      </w:r>
      <w:r w:rsidR="00E0089A" w:rsidRPr="00E0089A">
        <w:rPr>
          <w:bCs/>
        </w:rPr>
        <w:t xml:space="preserve">Toleranz hilft! Videoprojekt dreier </w:t>
      </w:r>
      <w:proofErr w:type="spellStart"/>
      <w:r w:rsidR="00E0089A" w:rsidRPr="00E0089A">
        <w:rPr>
          <w:bCs/>
        </w:rPr>
        <w:t>Vibelle</w:t>
      </w:r>
      <w:proofErr w:type="spellEnd"/>
      <w:r w:rsidR="00E0089A" w:rsidRPr="00E0089A">
        <w:rPr>
          <w:bCs/>
        </w:rPr>
        <w:t>-Praktikanten zu Toleranz und Mobbing</w:t>
      </w:r>
      <w:r w:rsidR="00E0089A">
        <w:rPr>
          <w:bCs/>
        </w:rPr>
        <w:t>“. Die Schülerinnen und Schüler sollen</w:t>
      </w:r>
      <w:r w:rsidR="00BA3478">
        <w:rPr>
          <w:bCs/>
        </w:rPr>
        <w:t xml:space="preserve"> im Anschluss folgende Fragen in DGS beantworten.</w:t>
      </w:r>
    </w:p>
    <w:p w:rsidR="00E0089A" w:rsidRDefault="00E0089A" w:rsidP="00757959">
      <w:pPr>
        <w:suppressAutoHyphens/>
        <w:spacing w:before="60" w:after="60" w:line="360" w:lineRule="auto"/>
        <w:rPr>
          <w:b/>
        </w:rPr>
      </w:pPr>
    </w:p>
    <w:p w:rsidR="00BB694F" w:rsidRPr="00026EBC" w:rsidRDefault="00BA3478" w:rsidP="00757959">
      <w:pPr>
        <w:suppressAutoHyphens/>
        <w:spacing w:before="60" w:after="60"/>
        <w:rPr>
          <w:b/>
        </w:rPr>
      </w:pPr>
      <w:r w:rsidRPr="00A673F5">
        <w:t>1.</w:t>
      </w:r>
      <w:r w:rsidRPr="00A673F5">
        <w:tab/>
      </w:r>
      <w:r w:rsidRPr="00026EBC">
        <w:rPr>
          <w:b/>
        </w:rPr>
        <w:t xml:space="preserve">Definiert den Begriff </w:t>
      </w:r>
      <w:r w:rsidRPr="00026EBC">
        <w:rPr>
          <w:b/>
          <w:i/>
        </w:rPr>
        <w:t>Mobbing</w:t>
      </w:r>
      <w:r w:rsidRPr="00026EBC">
        <w:rPr>
          <w:b/>
        </w:rPr>
        <w:t xml:space="preserve"> nach den Angaben im Film.</w:t>
      </w:r>
    </w:p>
    <w:p w:rsidR="00BA3478" w:rsidRDefault="00026EBC" w:rsidP="00757959">
      <w:pPr>
        <w:suppressAutoHyphens/>
        <w:spacing w:before="60" w:after="60"/>
        <w:ind w:left="705"/>
      </w:pPr>
      <w:r>
        <w:t>Mobbing bezeichnet, wenn eine Person oder eine Gruppe von einer Person oder einer Gruppe fortwährend beleidigt wird</w:t>
      </w:r>
      <w:r w:rsidR="00A15AD2">
        <w:t>,</w:t>
      </w:r>
      <w:r>
        <w:t xml:space="preserve"> z.</w:t>
      </w:r>
      <w:r w:rsidR="00A15AD2">
        <w:t xml:space="preserve"> </w:t>
      </w:r>
      <w:r>
        <w:t>B. auf</w:t>
      </w:r>
      <w:r w:rsidR="00A15AD2">
        <w:t>g</w:t>
      </w:r>
      <w:r>
        <w:t>rund von Homosexualität, Religion oder Aussehen. Mobbing kann beispielsweise</w:t>
      </w:r>
      <w:r w:rsidR="009A3FEE">
        <w:t xml:space="preserve"> </w:t>
      </w:r>
      <w:r>
        <w:t xml:space="preserve">auch im Internet stattfinden, das heißt dann </w:t>
      </w:r>
      <w:proofErr w:type="spellStart"/>
      <w:r>
        <w:t>Cyber</w:t>
      </w:r>
      <w:proofErr w:type="spellEnd"/>
      <w:r>
        <w:t xml:space="preserve"> Mobbing.</w:t>
      </w:r>
    </w:p>
    <w:p w:rsidR="009A3FEE" w:rsidRDefault="009A3FEE" w:rsidP="00757959">
      <w:pPr>
        <w:suppressAutoHyphens/>
        <w:spacing w:before="60" w:after="60"/>
        <w:ind w:left="705"/>
      </w:pPr>
    </w:p>
    <w:p w:rsidR="00BA3478" w:rsidRDefault="00BA3478" w:rsidP="00757959">
      <w:pPr>
        <w:suppressAutoHyphens/>
        <w:spacing w:before="60" w:after="60"/>
        <w:ind w:left="705" w:hanging="705"/>
      </w:pPr>
      <w:r>
        <w:t>2.</w:t>
      </w:r>
      <w:r>
        <w:tab/>
      </w:r>
      <w:r w:rsidRPr="00A673F5">
        <w:rPr>
          <w:b/>
        </w:rPr>
        <w:t xml:space="preserve">Beschreibt, in welchen Szenen die </w:t>
      </w:r>
      <w:r w:rsidR="00B65AC8">
        <w:rPr>
          <w:b/>
        </w:rPr>
        <w:t xml:space="preserve">Darstellerin und </w:t>
      </w:r>
      <w:r w:rsidRPr="00A673F5">
        <w:rPr>
          <w:b/>
        </w:rPr>
        <w:t>Darsteller tolerant und respektvoll miteinander umgegangen sind.</w:t>
      </w:r>
    </w:p>
    <w:p w:rsidR="00250BD6" w:rsidRDefault="00250BD6" w:rsidP="00757959">
      <w:pPr>
        <w:suppressAutoHyphens/>
        <w:spacing w:before="60" w:after="60"/>
        <w:ind w:left="705" w:hanging="705"/>
      </w:pPr>
      <w:r>
        <w:tab/>
      </w:r>
      <w:r w:rsidR="00111218">
        <w:rPr>
          <w:u w:val="single"/>
        </w:rPr>
        <w:t>Gemeinsam in die Kirche</w:t>
      </w:r>
      <w:proofErr w:type="gramStart"/>
      <w:r w:rsidR="00111218">
        <w:rPr>
          <w:u w:val="single"/>
        </w:rPr>
        <w:t>?:</w:t>
      </w:r>
      <w:proofErr w:type="gramEnd"/>
      <w:r>
        <w:t xml:space="preserve"> Die drei Jugendlichen wollen gemeinsam in die Kirche gehen. Die Religion spielt dabei gar keine Rolle. Das gemeinsam</w:t>
      </w:r>
      <w:r w:rsidR="009A3FEE">
        <w:t>e</w:t>
      </w:r>
      <w:r>
        <w:t xml:space="preserve"> Interesse</w:t>
      </w:r>
      <w:r w:rsidR="00B65AC8">
        <w:t>,</w:t>
      </w:r>
      <w:r>
        <w:t xml:space="preserve"> sich die Kirche anzuschauen</w:t>
      </w:r>
      <w:r w:rsidR="00A673F5">
        <w:t>,</w:t>
      </w:r>
      <w:r>
        <w:t xml:space="preserve"> steht im Vordergrund.</w:t>
      </w:r>
    </w:p>
    <w:p w:rsidR="00250BD6" w:rsidRDefault="00250BD6" w:rsidP="00757959">
      <w:pPr>
        <w:suppressAutoHyphens/>
        <w:spacing w:before="60" w:after="60"/>
        <w:ind w:left="705" w:hanging="705"/>
      </w:pPr>
      <w:r>
        <w:tab/>
      </w:r>
      <w:r w:rsidR="00A673F5" w:rsidRPr="00A673F5">
        <w:rPr>
          <w:u w:val="single"/>
        </w:rPr>
        <w:t>Veget</w:t>
      </w:r>
      <w:r w:rsidR="00111218">
        <w:rPr>
          <w:u w:val="single"/>
        </w:rPr>
        <w:t>arisch essen</w:t>
      </w:r>
      <w:proofErr w:type="gramStart"/>
      <w:r w:rsidR="00111218">
        <w:rPr>
          <w:u w:val="single"/>
        </w:rPr>
        <w:t>?:</w:t>
      </w:r>
      <w:proofErr w:type="gramEnd"/>
      <w:r>
        <w:t xml:space="preserve"> Gemeinsam wird überlegt, was die Vegetarierin bei einer Fast-Food-Kette essen könnte. </w:t>
      </w:r>
    </w:p>
    <w:p w:rsidR="00250BD6" w:rsidRDefault="00250BD6" w:rsidP="00757959">
      <w:pPr>
        <w:suppressAutoHyphens/>
        <w:spacing w:before="60" w:after="60"/>
        <w:ind w:left="705" w:hanging="705"/>
      </w:pPr>
      <w:r>
        <w:tab/>
      </w:r>
      <w:r w:rsidR="00111218">
        <w:rPr>
          <w:u w:val="single"/>
        </w:rPr>
        <w:t>Schwul – na und</w:t>
      </w:r>
      <w:proofErr w:type="gramStart"/>
      <w:r w:rsidR="00111218">
        <w:rPr>
          <w:u w:val="single"/>
        </w:rPr>
        <w:t>?:</w:t>
      </w:r>
      <w:proofErr w:type="gramEnd"/>
      <w:r>
        <w:t xml:space="preserve"> Das Mädchen läuft einfach an dem Jungen vorbei, ohne ihn zu beachten. Sie kennt ihn nicht und hat somit wenig Grund ihn anzusprechen. </w:t>
      </w:r>
      <w:r w:rsidR="00A673F5">
        <w:t>Seine sexuellen Vorlieben sind ihr egal.</w:t>
      </w:r>
    </w:p>
    <w:p w:rsidR="00A673F5" w:rsidRDefault="00A673F5" w:rsidP="00757959">
      <w:pPr>
        <w:suppressAutoHyphens/>
        <w:spacing w:before="60" w:after="60"/>
        <w:ind w:left="705" w:hanging="705"/>
      </w:pPr>
      <w:r>
        <w:tab/>
      </w:r>
      <w:r w:rsidR="00111218">
        <w:rPr>
          <w:u w:val="single"/>
        </w:rPr>
        <w:t>LBG oder DGS</w:t>
      </w:r>
      <w:proofErr w:type="gramStart"/>
      <w:r w:rsidR="00111218">
        <w:rPr>
          <w:u w:val="single"/>
        </w:rPr>
        <w:t>?:</w:t>
      </w:r>
      <w:proofErr w:type="gramEnd"/>
      <w:r>
        <w:t xml:space="preserve"> Die beiden Jungen unterstützen das Mädchen beim Lernen von DGS. Sie kann nur LBG und benötigt Hilfe beim Kommunizieren mit den Jugendlichen. </w:t>
      </w:r>
    </w:p>
    <w:p w:rsidR="00A673F5" w:rsidRDefault="00A673F5" w:rsidP="00757959">
      <w:pPr>
        <w:suppressAutoHyphens/>
        <w:spacing w:before="60" w:after="60"/>
        <w:ind w:left="705" w:hanging="705"/>
      </w:pPr>
      <w:r>
        <w:tab/>
      </w:r>
      <w:r w:rsidR="00111218">
        <w:rPr>
          <w:u w:val="single"/>
        </w:rPr>
        <w:t>Shirin David:</w:t>
      </w:r>
      <w:r>
        <w:t xml:space="preserve"> Die beiden Jugendlichen unterhalten sich in DGS. Der Jugendliche neben ihnen liest in einer Zeitschrift. Die Jugendlichen beachten sich nicht, da jeder mit seinen eigenen Themen beschäftigt ist.</w:t>
      </w:r>
    </w:p>
    <w:p w:rsidR="00BA3478" w:rsidRDefault="00BA3478" w:rsidP="00757959">
      <w:pPr>
        <w:suppressAutoHyphens/>
        <w:spacing w:before="60" w:after="60"/>
        <w:ind w:left="705" w:hanging="705"/>
        <w:rPr>
          <w:b/>
        </w:rPr>
      </w:pPr>
    </w:p>
    <w:p w:rsidR="002528C3" w:rsidRDefault="00E0089A" w:rsidP="00757959">
      <w:pPr>
        <w:suppressAutoHyphens/>
        <w:spacing w:before="60" w:after="60"/>
        <w:rPr>
          <w:b/>
        </w:rPr>
      </w:pPr>
      <w:r>
        <w:rPr>
          <w:b/>
        </w:rPr>
        <w:t>Materia</w:t>
      </w:r>
      <w:r w:rsidR="00532521">
        <w:rPr>
          <w:b/>
        </w:rPr>
        <w:t>l</w:t>
      </w:r>
    </w:p>
    <w:p w:rsidR="00BB1A40" w:rsidRDefault="00C84E86" w:rsidP="00757959">
      <w:pPr>
        <w:suppressAutoHyphens/>
        <w:spacing w:before="60" w:after="60"/>
      </w:pPr>
      <w:hyperlink r:id="rId10" w:history="1">
        <w:r w:rsidR="00E0089A" w:rsidRPr="00DD79D9">
          <w:rPr>
            <w:rStyle w:val="Hyperlink"/>
          </w:rPr>
          <w:t>http://www.vibelle.de/tv/watch/148</w:t>
        </w:r>
      </w:hyperlink>
    </w:p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Default="00757959" w:rsidP="00757959"/>
    <w:p w:rsidR="00757959" w:rsidRPr="00C2144F" w:rsidRDefault="00757959" w:rsidP="00757959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7F7FA9" w:rsidRDefault="007F7FA9" w:rsidP="00757959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E71D79" w:rsidRDefault="00E71D79" w:rsidP="00757959">
      <w:pPr>
        <w:suppressAutoHyphens/>
        <w:spacing w:before="60" w:after="60"/>
        <w:rPr>
          <w:b/>
        </w:rPr>
      </w:pPr>
    </w:p>
    <w:p w:rsidR="00E71D79" w:rsidRDefault="00E0089A" w:rsidP="00757959">
      <w:pPr>
        <w:suppressAutoHyphens/>
        <w:spacing w:before="60" w:after="60"/>
        <w:jc w:val="both"/>
      </w:pPr>
      <w:r>
        <w:t xml:space="preserve">Indem die </w:t>
      </w:r>
      <w:r w:rsidR="001B64C5">
        <w:t xml:space="preserve">Schülerinnen und </w:t>
      </w:r>
      <w:r w:rsidR="00E71D79" w:rsidRPr="001828BF">
        <w:t xml:space="preserve">Schüler </w:t>
      </w:r>
      <w:r w:rsidR="00BA3478">
        <w:t xml:space="preserve">den Begriff </w:t>
      </w:r>
      <w:r w:rsidR="00BA3478" w:rsidRPr="00BA3478">
        <w:rPr>
          <w:i/>
        </w:rPr>
        <w:t>Mobbing</w:t>
      </w:r>
      <w:r>
        <w:t xml:space="preserve"> aus dem </w:t>
      </w:r>
      <w:proofErr w:type="spellStart"/>
      <w:r>
        <w:t>Sehtext</w:t>
      </w:r>
      <w:proofErr w:type="spellEnd"/>
      <w:r>
        <w:t xml:space="preserve"> in</w:t>
      </w:r>
      <w:r w:rsidR="006B7EA0">
        <w:t xml:space="preserve"> Gebärdensprache </w:t>
      </w:r>
      <w:r w:rsidR="00BA3478">
        <w:t xml:space="preserve">definieren können und </w:t>
      </w:r>
      <w:r w:rsidR="00026EBC">
        <w:t xml:space="preserve">zusätzlich </w:t>
      </w:r>
      <w:r w:rsidR="00BA3478">
        <w:t xml:space="preserve">die </w:t>
      </w:r>
      <w:r w:rsidR="00026EBC">
        <w:t>Reflexionsaufgabe lösen,</w:t>
      </w:r>
      <w:r>
        <w:t xml:space="preserve"> zeigen sie, dass sie den Inhalt des Films verstanden haben. </w:t>
      </w:r>
    </w:p>
    <w:p w:rsidR="007F7FA9" w:rsidRDefault="007F7FA9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757959" w:rsidRDefault="00757959" w:rsidP="007F7FA9">
      <w:pPr>
        <w:spacing w:before="60" w:after="60"/>
        <w:rPr>
          <w:b/>
        </w:rPr>
      </w:pPr>
    </w:p>
    <w:p w:rsidR="00757959" w:rsidRDefault="00757959" w:rsidP="007F7FA9">
      <w:pPr>
        <w:spacing w:before="60" w:after="60"/>
        <w:rPr>
          <w:b/>
        </w:rPr>
      </w:pPr>
    </w:p>
    <w:p w:rsidR="00757959" w:rsidRDefault="00757959" w:rsidP="007F7FA9">
      <w:pPr>
        <w:spacing w:before="60" w:after="60"/>
        <w:rPr>
          <w:b/>
        </w:rPr>
      </w:pPr>
    </w:p>
    <w:p w:rsidR="00757959" w:rsidRDefault="00757959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757959" w:rsidRDefault="00757959" w:rsidP="007F7FA9">
      <w:pPr>
        <w:spacing w:before="60" w:after="60"/>
        <w:rPr>
          <w:b/>
        </w:rPr>
      </w:pPr>
    </w:p>
    <w:p w:rsidR="008C27D3" w:rsidRDefault="008C27D3" w:rsidP="007F7FA9">
      <w:pPr>
        <w:spacing w:before="60" w:after="60"/>
        <w:rPr>
          <w:b/>
        </w:rPr>
      </w:pPr>
    </w:p>
    <w:p w:rsidR="008119C5" w:rsidRPr="00C2144F" w:rsidRDefault="007F7FA9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2D2E0E">
        <w:t xml:space="preserve">, </w:t>
      </w:r>
      <w:r w:rsidR="00132405">
        <w:t xml:space="preserve">Natalie </w:t>
      </w:r>
      <w:proofErr w:type="spellStart"/>
      <w:r w:rsidR="00132405">
        <w:t>Josch</w:t>
      </w:r>
      <w:proofErr w:type="spellEnd"/>
      <w:r w:rsidR="00132405">
        <w:t>,</w:t>
      </w:r>
      <w:r w:rsidR="002D2E0E">
        <w:t xml:space="preserve"> </w:t>
      </w:r>
      <w:r w:rsidR="002D2E0E" w:rsidRPr="006C2A40">
        <w:t>Sieglinde Lem</w:t>
      </w:r>
      <w:r w:rsidR="00C973E7">
        <w:t>c</w:t>
      </w:r>
      <w:r w:rsidR="002D2E0E" w:rsidRPr="006C2A40">
        <w:t xml:space="preserve">ke &amp; Lutz </w:t>
      </w:r>
      <w:proofErr w:type="spellStart"/>
      <w:r w:rsidR="002D2E0E"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F6" w:rsidRDefault="007056F6" w:rsidP="00837EC7">
      <w:pPr>
        <w:spacing w:line="240" w:lineRule="auto"/>
      </w:pPr>
      <w:r>
        <w:separator/>
      </w:r>
    </w:p>
  </w:endnote>
  <w:endnote w:type="continuationSeparator" w:id="0">
    <w:p w:rsidR="007056F6" w:rsidRDefault="007056F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A15AD2" w:rsidRDefault="00A15A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036E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F6" w:rsidRDefault="007056F6" w:rsidP="00837EC7">
      <w:pPr>
        <w:spacing w:line="240" w:lineRule="auto"/>
      </w:pPr>
      <w:r>
        <w:separator/>
      </w:r>
    </w:p>
  </w:footnote>
  <w:footnote w:type="continuationSeparator" w:id="0">
    <w:p w:rsidR="007056F6" w:rsidRDefault="007056F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D2" w:rsidRPr="00142DFA" w:rsidRDefault="00A15A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261A7"/>
    <w:rsid w:val="00026EBC"/>
    <w:rsid w:val="00035BEB"/>
    <w:rsid w:val="0004165F"/>
    <w:rsid w:val="00056CDA"/>
    <w:rsid w:val="000636E4"/>
    <w:rsid w:val="00096DA8"/>
    <w:rsid w:val="000A2A61"/>
    <w:rsid w:val="000A4B8B"/>
    <w:rsid w:val="000A6117"/>
    <w:rsid w:val="000A66BF"/>
    <w:rsid w:val="000E1F9E"/>
    <w:rsid w:val="00111218"/>
    <w:rsid w:val="00123921"/>
    <w:rsid w:val="00132405"/>
    <w:rsid w:val="00133562"/>
    <w:rsid w:val="00136172"/>
    <w:rsid w:val="00142DFA"/>
    <w:rsid w:val="00151C67"/>
    <w:rsid w:val="00155F4E"/>
    <w:rsid w:val="001634E6"/>
    <w:rsid w:val="00163D87"/>
    <w:rsid w:val="001838E5"/>
    <w:rsid w:val="00185133"/>
    <w:rsid w:val="00187FAD"/>
    <w:rsid w:val="00191F80"/>
    <w:rsid w:val="001A71B9"/>
    <w:rsid w:val="001B043E"/>
    <w:rsid w:val="001B64C5"/>
    <w:rsid w:val="001B7182"/>
    <w:rsid w:val="001C3197"/>
    <w:rsid w:val="001F319E"/>
    <w:rsid w:val="001F5DD1"/>
    <w:rsid w:val="00201F44"/>
    <w:rsid w:val="00202F49"/>
    <w:rsid w:val="00206E1F"/>
    <w:rsid w:val="002077B0"/>
    <w:rsid w:val="002348B8"/>
    <w:rsid w:val="00250BD6"/>
    <w:rsid w:val="00252006"/>
    <w:rsid w:val="002528C3"/>
    <w:rsid w:val="00270DFC"/>
    <w:rsid w:val="00270E82"/>
    <w:rsid w:val="00283455"/>
    <w:rsid w:val="002A04B8"/>
    <w:rsid w:val="002A2294"/>
    <w:rsid w:val="002B14FC"/>
    <w:rsid w:val="002D2E0E"/>
    <w:rsid w:val="002D3153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07F7D"/>
    <w:rsid w:val="00411347"/>
    <w:rsid w:val="00420481"/>
    <w:rsid w:val="00432230"/>
    <w:rsid w:val="004324BC"/>
    <w:rsid w:val="00445672"/>
    <w:rsid w:val="0045370E"/>
    <w:rsid w:val="00467ABE"/>
    <w:rsid w:val="004851BE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D6C1E"/>
    <w:rsid w:val="004F3656"/>
    <w:rsid w:val="005052CB"/>
    <w:rsid w:val="00511575"/>
    <w:rsid w:val="00532521"/>
    <w:rsid w:val="00537A2A"/>
    <w:rsid w:val="005527FA"/>
    <w:rsid w:val="005960DF"/>
    <w:rsid w:val="005C16CC"/>
    <w:rsid w:val="005F1ACA"/>
    <w:rsid w:val="00677337"/>
    <w:rsid w:val="006A22F8"/>
    <w:rsid w:val="006A599E"/>
    <w:rsid w:val="006B43CD"/>
    <w:rsid w:val="006B7EA0"/>
    <w:rsid w:val="006C2A40"/>
    <w:rsid w:val="006C6790"/>
    <w:rsid w:val="006C713F"/>
    <w:rsid w:val="006D084A"/>
    <w:rsid w:val="006D5EEA"/>
    <w:rsid w:val="006D719E"/>
    <w:rsid w:val="007024FB"/>
    <w:rsid w:val="0070531C"/>
    <w:rsid w:val="007056F6"/>
    <w:rsid w:val="00707DC6"/>
    <w:rsid w:val="0072011B"/>
    <w:rsid w:val="007357B6"/>
    <w:rsid w:val="007474E0"/>
    <w:rsid w:val="00757959"/>
    <w:rsid w:val="007621DD"/>
    <w:rsid w:val="0076717E"/>
    <w:rsid w:val="00785193"/>
    <w:rsid w:val="00794B84"/>
    <w:rsid w:val="007C1D1C"/>
    <w:rsid w:val="007C32D6"/>
    <w:rsid w:val="007C3E2C"/>
    <w:rsid w:val="007D6BA1"/>
    <w:rsid w:val="007F1979"/>
    <w:rsid w:val="007F7FA9"/>
    <w:rsid w:val="00800BD6"/>
    <w:rsid w:val="008109AD"/>
    <w:rsid w:val="008119C5"/>
    <w:rsid w:val="00820851"/>
    <w:rsid w:val="00825908"/>
    <w:rsid w:val="00826C8F"/>
    <w:rsid w:val="00837EC7"/>
    <w:rsid w:val="00892B38"/>
    <w:rsid w:val="008A1768"/>
    <w:rsid w:val="008B1D49"/>
    <w:rsid w:val="008B6E6E"/>
    <w:rsid w:val="008C27D3"/>
    <w:rsid w:val="008D7FF6"/>
    <w:rsid w:val="008E1905"/>
    <w:rsid w:val="008E2ED1"/>
    <w:rsid w:val="008E7D45"/>
    <w:rsid w:val="008F78E6"/>
    <w:rsid w:val="009022A1"/>
    <w:rsid w:val="009036EC"/>
    <w:rsid w:val="00930A60"/>
    <w:rsid w:val="00937B60"/>
    <w:rsid w:val="0095558E"/>
    <w:rsid w:val="00971722"/>
    <w:rsid w:val="009A1D85"/>
    <w:rsid w:val="009A3FEE"/>
    <w:rsid w:val="009A51C9"/>
    <w:rsid w:val="009B046A"/>
    <w:rsid w:val="009E6331"/>
    <w:rsid w:val="009F42E4"/>
    <w:rsid w:val="00A15AD2"/>
    <w:rsid w:val="00A20523"/>
    <w:rsid w:val="00A366CC"/>
    <w:rsid w:val="00A447D2"/>
    <w:rsid w:val="00A5436F"/>
    <w:rsid w:val="00A57E9B"/>
    <w:rsid w:val="00A6428F"/>
    <w:rsid w:val="00A673F5"/>
    <w:rsid w:val="00A804F8"/>
    <w:rsid w:val="00A828A1"/>
    <w:rsid w:val="00A973E5"/>
    <w:rsid w:val="00AB509B"/>
    <w:rsid w:val="00AC56D2"/>
    <w:rsid w:val="00AD39E6"/>
    <w:rsid w:val="00AE2D84"/>
    <w:rsid w:val="00AE3A55"/>
    <w:rsid w:val="00AE4809"/>
    <w:rsid w:val="00AF3F99"/>
    <w:rsid w:val="00B0558D"/>
    <w:rsid w:val="00B542E5"/>
    <w:rsid w:val="00B6182B"/>
    <w:rsid w:val="00B65AC8"/>
    <w:rsid w:val="00B669EC"/>
    <w:rsid w:val="00B72DE2"/>
    <w:rsid w:val="00B839AC"/>
    <w:rsid w:val="00B8678C"/>
    <w:rsid w:val="00B94BD8"/>
    <w:rsid w:val="00BA3478"/>
    <w:rsid w:val="00BB1A40"/>
    <w:rsid w:val="00BB694F"/>
    <w:rsid w:val="00BC02FE"/>
    <w:rsid w:val="00BC2437"/>
    <w:rsid w:val="00BC763D"/>
    <w:rsid w:val="00BD7E76"/>
    <w:rsid w:val="00BE7704"/>
    <w:rsid w:val="00BF22FF"/>
    <w:rsid w:val="00BF2916"/>
    <w:rsid w:val="00BF2994"/>
    <w:rsid w:val="00BF4880"/>
    <w:rsid w:val="00C01D4F"/>
    <w:rsid w:val="00C02609"/>
    <w:rsid w:val="00C16860"/>
    <w:rsid w:val="00C2144F"/>
    <w:rsid w:val="00C22C98"/>
    <w:rsid w:val="00C2632F"/>
    <w:rsid w:val="00C31E21"/>
    <w:rsid w:val="00C32E69"/>
    <w:rsid w:val="00C47F23"/>
    <w:rsid w:val="00C6552D"/>
    <w:rsid w:val="00C752F4"/>
    <w:rsid w:val="00C84E86"/>
    <w:rsid w:val="00C92670"/>
    <w:rsid w:val="00C973E7"/>
    <w:rsid w:val="00CB30FD"/>
    <w:rsid w:val="00CB3549"/>
    <w:rsid w:val="00CD38FD"/>
    <w:rsid w:val="00D0707C"/>
    <w:rsid w:val="00D226DE"/>
    <w:rsid w:val="00D270BC"/>
    <w:rsid w:val="00D41202"/>
    <w:rsid w:val="00D41BE0"/>
    <w:rsid w:val="00DC762A"/>
    <w:rsid w:val="00DD0C30"/>
    <w:rsid w:val="00DF308F"/>
    <w:rsid w:val="00E0089A"/>
    <w:rsid w:val="00E13C2D"/>
    <w:rsid w:val="00E16A0E"/>
    <w:rsid w:val="00E16B27"/>
    <w:rsid w:val="00E26DF2"/>
    <w:rsid w:val="00E4352E"/>
    <w:rsid w:val="00E579BF"/>
    <w:rsid w:val="00E64FAB"/>
    <w:rsid w:val="00E71D7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3B6F"/>
    <w:rsid w:val="00F86862"/>
    <w:rsid w:val="00F90B50"/>
    <w:rsid w:val="00FA0BB9"/>
    <w:rsid w:val="00FA4ED0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vibelle.de/tv/watch/14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58DB-0014-414D-9F89-75A00492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2016-11-29T10:18:00Z</dcterms:created>
  <dcterms:modified xsi:type="dcterms:W3CDTF">2016-11-29T10:18:00Z</dcterms:modified>
</cp:coreProperties>
</file>