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D1C" w:rsidRPr="00F74742" w:rsidRDefault="002D3F70" w:rsidP="000209E8">
      <w:pPr>
        <w:spacing w:after="120"/>
        <w:rPr>
          <w:rFonts w:cs="Arial"/>
        </w:rPr>
      </w:pPr>
      <w:r w:rsidRPr="00F74742">
        <w:rPr>
          <w:rFonts w:cs="Arial"/>
        </w:rPr>
        <w:t>Standardillustrierende Aufgaben veranschaulichen beispielhaft Standards für Lehrkräfte, Lernende und Eltern.</w:t>
      </w:r>
      <w:r w:rsidR="007C1D1C" w:rsidRPr="00F74742">
        <w:rPr>
          <w:rFonts w:cs="Arial"/>
        </w:rPr>
        <w:t xml:space="preserve"> </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F74742" w:rsidTr="00C16860">
        <w:tc>
          <w:tcPr>
            <w:tcW w:w="2802" w:type="dxa"/>
          </w:tcPr>
          <w:p w:rsidR="00B94BD8" w:rsidRPr="00F74742" w:rsidRDefault="00B94BD8" w:rsidP="000209E8">
            <w:pPr>
              <w:spacing w:before="200" w:after="200"/>
              <w:rPr>
                <w:rFonts w:cs="Arial"/>
                <w:b/>
              </w:rPr>
            </w:pPr>
            <w:r w:rsidRPr="00F74742">
              <w:rPr>
                <w:rFonts w:cs="Arial"/>
                <w:b/>
              </w:rPr>
              <w:t>Fach</w:t>
            </w:r>
          </w:p>
        </w:tc>
        <w:tc>
          <w:tcPr>
            <w:tcW w:w="6433" w:type="dxa"/>
            <w:gridSpan w:val="3"/>
          </w:tcPr>
          <w:p w:rsidR="00B94BD8" w:rsidRPr="00F74742" w:rsidRDefault="00F32962" w:rsidP="000209E8">
            <w:pPr>
              <w:spacing w:before="200" w:after="200"/>
              <w:rPr>
                <w:rFonts w:cs="Arial"/>
              </w:rPr>
            </w:pPr>
            <w:r w:rsidRPr="00F74742">
              <w:rPr>
                <w:rFonts w:cs="Arial"/>
              </w:rPr>
              <w:t>Ethik</w:t>
            </w:r>
          </w:p>
        </w:tc>
      </w:tr>
      <w:tr w:rsidR="00B94BD8" w:rsidRPr="00F74742" w:rsidTr="00C16860">
        <w:tc>
          <w:tcPr>
            <w:tcW w:w="2802" w:type="dxa"/>
          </w:tcPr>
          <w:p w:rsidR="00B94BD8" w:rsidRPr="00F74742" w:rsidRDefault="00B94BD8" w:rsidP="000209E8">
            <w:pPr>
              <w:spacing w:before="200" w:after="200"/>
              <w:rPr>
                <w:rFonts w:cs="Arial"/>
                <w:b/>
              </w:rPr>
            </w:pPr>
            <w:r w:rsidRPr="00F74742">
              <w:rPr>
                <w:rFonts w:cs="Arial"/>
                <w:b/>
              </w:rPr>
              <w:t>Kompetenzbereich</w:t>
            </w:r>
          </w:p>
        </w:tc>
        <w:tc>
          <w:tcPr>
            <w:tcW w:w="6433" w:type="dxa"/>
            <w:gridSpan w:val="3"/>
          </w:tcPr>
          <w:p w:rsidR="00B94BD8" w:rsidRPr="00F74742" w:rsidRDefault="0064788B" w:rsidP="000209E8">
            <w:pPr>
              <w:spacing w:before="200" w:after="200"/>
              <w:rPr>
                <w:rFonts w:cs="Arial"/>
              </w:rPr>
            </w:pPr>
            <w:r>
              <w:rPr>
                <w:rFonts w:cs="Arial"/>
              </w:rPr>
              <w:t>Argumentieren und Urteilen</w:t>
            </w:r>
          </w:p>
        </w:tc>
      </w:tr>
      <w:tr w:rsidR="00B94BD8" w:rsidRPr="00F74742" w:rsidTr="00C16860">
        <w:tc>
          <w:tcPr>
            <w:tcW w:w="2802" w:type="dxa"/>
          </w:tcPr>
          <w:p w:rsidR="00B94BD8" w:rsidRPr="00F74742" w:rsidRDefault="00B94BD8" w:rsidP="000209E8">
            <w:pPr>
              <w:tabs>
                <w:tab w:val="left" w:pos="1373"/>
              </w:tabs>
              <w:spacing w:before="200" w:after="200"/>
              <w:rPr>
                <w:rFonts w:cs="Arial"/>
                <w:b/>
              </w:rPr>
            </w:pPr>
            <w:r w:rsidRPr="00F74742">
              <w:rPr>
                <w:rFonts w:cs="Arial"/>
                <w:b/>
              </w:rPr>
              <w:t>Kompetenz</w:t>
            </w:r>
          </w:p>
        </w:tc>
        <w:tc>
          <w:tcPr>
            <w:tcW w:w="6433" w:type="dxa"/>
            <w:gridSpan w:val="3"/>
          </w:tcPr>
          <w:p w:rsidR="00B94BD8" w:rsidRPr="00F74742" w:rsidRDefault="0064788B" w:rsidP="000209E8">
            <w:pPr>
              <w:tabs>
                <w:tab w:val="left" w:pos="1373"/>
              </w:tabs>
              <w:spacing w:before="200" w:after="200"/>
              <w:rPr>
                <w:rFonts w:cs="Arial"/>
              </w:rPr>
            </w:pPr>
            <w:r>
              <w:rPr>
                <w:rFonts w:cs="Arial"/>
              </w:rPr>
              <w:t>Urteilen</w:t>
            </w:r>
          </w:p>
        </w:tc>
      </w:tr>
      <w:tr w:rsidR="00B94BD8" w:rsidRPr="00F74742" w:rsidTr="00C16860">
        <w:tc>
          <w:tcPr>
            <w:tcW w:w="2802" w:type="dxa"/>
          </w:tcPr>
          <w:p w:rsidR="00B94BD8" w:rsidRPr="00F74742" w:rsidRDefault="008E2ED1" w:rsidP="000209E8">
            <w:pPr>
              <w:tabs>
                <w:tab w:val="left" w:pos="1190"/>
              </w:tabs>
              <w:spacing w:before="200" w:after="200"/>
              <w:rPr>
                <w:rFonts w:cs="Arial"/>
                <w:b/>
              </w:rPr>
            </w:pPr>
            <w:r w:rsidRPr="00F74742">
              <w:rPr>
                <w:rFonts w:cs="Arial"/>
                <w:b/>
              </w:rPr>
              <w:t>Niveaus</w:t>
            </w:r>
            <w:r w:rsidR="00B94BD8" w:rsidRPr="00F74742">
              <w:rPr>
                <w:rFonts w:cs="Arial"/>
                <w:b/>
              </w:rPr>
              <w:t>tufe</w:t>
            </w:r>
            <w:r w:rsidR="00DF1F88">
              <w:rPr>
                <w:rFonts w:cs="Arial"/>
                <w:b/>
              </w:rPr>
              <w:t>n</w:t>
            </w:r>
          </w:p>
        </w:tc>
        <w:tc>
          <w:tcPr>
            <w:tcW w:w="6433" w:type="dxa"/>
            <w:gridSpan w:val="3"/>
          </w:tcPr>
          <w:p w:rsidR="00B94BD8" w:rsidRPr="00F74742" w:rsidRDefault="009069F0" w:rsidP="009069F0">
            <w:pPr>
              <w:tabs>
                <w:tab w:val="left" w:pos="1190"/>
              </w:tabs>
              <w:spacing w:before="200" w:after="200"/>
              <w:rPr>
                <w:rFonts w:cs="Arial"/>
              </w:rPr>
            </w:pPr>
            <w:r>
              <w:rPr>
                <w:rFonts w:cs="Arial"/>
              </w:rPr>
              <w:t>F</w:t>
            </w:r>
          </w:p>
        </w:tc>
      </w:tr>
      <w:tr w:rsidR="008E2ED1" w:rsidRPr="00F74742" w:rsidTr="00C16860">
        <w:tc>
          <w:tcPr>
            <w:tcW w:w="2802" w:type="dxa"/>
          </w:tcPr>
          <w:p w:rsidR="008E2ED1" w:rsidRPr="00F74742" w:rsidRDefault="008E2ED1" w:rsidP="000209E8">
            <w:pPr>
              <w:tabs>
                <w:tab w:val="left" w:pos="1190"/>
              </w:tabs>
              <w:spacing w:before="200" w:after="200"/>
              <w:rPr>
                <w:rFonts w:cs="Arial"/>
                <w:b/>
              </w:rPr>
            </w:pPr>
            <w:r w:rsidRPr="00F74742">
              <w:rPr>
                <w:rFonts w:cs="Arial"/>
                <w:b/>
              </w:rPr>
              <w:t>Standard</w:t>
            </w:r>
          </w:p>
        </w:tc>
        <w:tc>
          <w:tcPr>
            <w:tcW w:w="6433" w:type="dxa"/>
            <w:gridSpan w:val="3"/>
          </w:tcPr>
          <w:p w:rsidR="00B52EB2" w:rsidRPr="007C35A9" w:rsidRDefault="00B52EB2" w:rsidP="009069F0">
            <w:pPr>
              <w:tabs>
                <w:tab w:val="left" w:pos="1190"/>
              </w:tabs>
              <w:spacing w:before="200" w:after="200"/>
              <w:rPr>
                <w:rFonts w:cs="Arial"/>
              </w:rPr>
            </w:pPr>
            <w:r>
              <w:t xml:space="preserve">F: </w:t>
            </w:r>
            <w:r w:rsidRPr="006D61A6">
              <w:t xml:space="preserve">ein begründetes Urteil zu </w:t>
            </w:r>
            <w:r>
              <w:t xml:space="preserve">ethischen </w:t>
            </w:r>
            <w:r w:rsidRPr="006D61A6">
              <w:t>Fragen des eigenen L</w:t>
            </w:r>
            <w:r w:rsidRPr="006D61A6">
              <w:t>e</w:t>
            </w:r>
            <w:r>
              <w:t>bens</w:t>
            </w:r>
            <w:r w:rsidRPr="006D61A6">
              <w:t>bereichs unter Berücksichtigung erworbener Kenntnisse vertreten</w:t>
            </w:r>
          </w:p>
        </w:tc>
      </w:tr>
      <w:tr w:rsidR="00B94BD8" w:rsidRPr="00F74742" w:rsidTr="00C16860">
        <w:tc>
          <w:tcPr>
            <w:tcW w:w="2802" w:type="dxa"/>
            <w:tcBorders>
              <w:bottom w:val="single" w:sz="4" w:space="0" w:color="808080" w:themeColor="background1" w:themeShade="80"/>
            </w:tcBorders>
          </w:tcPr>
          <w:p w:rsidR="00B94BD8" w:rsidRPr="00F74742" w:rsidRDefault="00B94BD8" w:rsidP="000209E8">
            <w:pPr>
              <w:tabs>
                <w:tab w:val="left" w:pos="1190"/>
              </w:tabs>
              <w:spacing w:before="200" w:after="200"/>
              <w:rPr>
                <w:rFonts w:cs="Arial"/>
                <w:b/>
              </w:rPr>
            </w:pPr>
            <w:r w:rsidRPr="00F74742">
              <w:rPr>
                <w:rFonts w:cs="Arial"/>
                <w:b/>
              </w:rPr>
              <w:t>ggf. Themenfeld</w:t>
            </w:r>
          </w:p>
        </w:tc>
        <w:tc>
          <w:tcPr>
            <w:tcW w:w="6433" w:type="dxa"/>
            <w:gridSpan w:val="3"/>
            <w:tcBorders>
              <w:bottom w:val="single" w:sz="4" w:space="0" w:color="808080" w:themeColor="background1" w:themeShade="80"/>
            </w:tcBorders>
          </w:tcPr>
          <w:p w:rsidR="00B94BD8" w:rsidRPr="00F74742" w:rsidRDefault="00EC0753" w:rsidP="009069F0">
            <w:pPr>
              <w:tabs>
                <w:tab w:val="left" w:pos="1190"/>
              </w:tabs>
              <w:spacing w:before="200" w:after="200"/>
              <w:rPr>
                <w:rFonts w:cs="Arial"/>
              </w:rPr>
            </w:pPr>
            <w:r>
              <w:rPr>
                <w:rFonts w:cs="Arial"/>
              </w:rPr>
              <w:t>Handeln und Moral</w:t>
            </w:r>
          </w:p>
        </w:tc>
      </w:tr>
      <w:tr w:rsidR="005C16CC" w:rsidRPr="00F74742" w:rsidTr="00C16860">
        <w:tc>
          <w:tcPr>
            <w:tcW w:w="2802" w:type="dxa"/>
            <w:tcBorders>
              <w:bottom w:val="single" w:sz="4" w:space="0" w:color="808080" w:themeColor="background1" w:themeShade="80"/>
            </w:tcBorders>
          </w:tcPr>
          <w:p w:rsidR="005C16CC" w:rsidRPr="00F74742" w:rsidRDefault="005C16CC" w:rsidP="000209E8">
            <w:pPr>
              <w:tabs>
                <w:tab w:val="left" w:pos="1190"/>
              </w:tabs>
              <w:spacing w:before="200" w:after="200"/>
              <w:rPr>
                <w:rFonts w:cs="Arial"/>
                <w:b/>
              </w:rPr>
            </w:pPr>
            <w:r w:rsidRPr="00F74742">
              <w:rPr>
                <w:rFonts w:cs="Arial"/>
                <w:b/>
              </w:rPr>
              <w:t>ggf</w:t>
            </w:r>
            <w:r w:rsidR="00EA4734" w:rsidRPr="00F74742">
              <w:rPr>
                <w:rFonts w:cs="Arial"/>
                <w:b/>
              </w:rPr>
              <w:t>.</w:t>
            </w:r>
            <w:r w:rsidRPr="00F74742">
              <w:rPr>
                <w:rFonts w:cs="Arial"/>
                <w:b/>
              </w:rPr>
              <w:t xml:space="preserve"> Bezug Basiscurr</w:t>
            </w:r>
            <w:r w:rsidRPr="00F74742">
              <w:rPr>
                <w:rFonts w:cs="Arial"/>
                <w:b/>
              </w:rPr>
              <w:t>i</w:t>
            </w:r>
            <w:r w:rsidRPr="00F74742">
              <w:rPr>
                <w:rFonts w:cs="Arial"/>
                <w:b/>
              </w:rPr>
              <w:t>culum (BC)</w:t>
            </w:r>
            <w:r w:rsidR="00C16860" w:rsidRPr="00F74742">
              <w:rPr>
                <w:rFonts w:cs="Arial"/>
                <w:b/>
              </w:rPr>
              <w:t xml:space="preserve"> oder übe</w:t>
            </w:r>
            <w:r w:rsidR="00C16860" w:rsidRPr="00F74742">
              <w:rPr>
                <w:rFonts w:cs="Arial"/>
                <w:b/>
              </w:rPr>
              <w:t>r</w:t>
            </w:r>
            <w:r w:rsidR="00C16860" w:rsidRPr="00F74742">
              <w:rPr>
                <w:rFonts w:cs="Arial"/>
                <w:b/>
              </w:rPr>
              <w:t>greifenden Themen (ÜT)</w:t>
            </w:r>
          </w:p>
        </w:tc>
        <w:tc>
          <w:tcPr>
            <w:tcW w:w="6433" w:type="dxa"/>
            <w:gridSpan w:val="3"/>
            <w:tcBorders>
              <w:bottom w:val="single" w:sz="4" w:space="0" w:color="808080" w:themeColor="background1" w:themeShade="80"/>
            </w:tcBorders>
          </w:tcPr>
          <w:p w:rsidR="005C16CC" w:rsidRDefault="00001B57" w:rsidP="000209E8">
            <w:pPr>
              <w:tabs>
                <w:tab w:val="left" w:pos="1190"/>
              </w:tabs>
              <w:spacing w:before="200" w:after="200"/>
              <w:rPr>
                <w:rFonts w:cs="Arial"/>
              </w:rPr>
            </w:pPr>
            <w:r>
              <w:rPr>
                <w:rFonts w:cs="Arial"/>
              </w:rPr>
              <w:t>Sprachbildung</w:t>
            </w:r>
          </w:p>
          <w:p w:rsidR="00832B32" w:rsidRPr="00F74742" w:rsidRDefault="00832B32" w:rsidP="002E2CF3">
            <w:pPr>
              <w:tabs>
                <w:tab w:val="left" w:pos="1190"/>
              </w:tabs>
              <w:spacing w:before="200" w:after="200"/>
              <w:rPr>
                <w:rFonts w:cs="Arial"/>
              </w:rPr>
            </w:pPr>
            <w:r>
              <w:rPr>
                <w:rFonts w:cs="Arial"/>
              </w:rPr>
              <w:t xml:space="preserve">Medienbildung </w:t>
            </w:r>
          </w:p>
        </w:tc>
      </w:tr>
      <w:tr w:rsidR="005C16CC" w:rsidRPr="00F74742" w:rsidTr="00C16860">
        <w:tc>
          <w:tcPr>
            <w:tcW w:w="2802" w:type="dxa"/>
            <w:tcBorders>
              <w:bottom w:val="single" w:sz="4" w:space="0" w:color="808080" w:themeColor="background1" w:themeShade="80"/>
            </w:tcBorders>
          </w:tcPr>
          <w:p w:rsidR="005C16CC" w:rsidRPr="00F74742" w:rsidRDefault="004851BE" w:rsidP="000209E8">
            <w:pPr>
              <w:tabs>
                <w:tab w:val="left" w:pos="1190"/>
              </w:tabs>
              <w:spacing w:before="200" w:after="200"/>
              <w:rPr>
                <w:rFonts w:cs="Arial"/>
                <w:b/>
              </w:rPr>
            </w:pPr>
            <w:r w:rsidRPr="00F74742">
              <w:rPr>
                <w:rFonts w:cs="Arial"/>
                <w:b/>
              </w:rPr>
              <w:t>g</w:t>
            </w:r>
            <w:r w:rsidR="005C16CC" w:rsidRPr="00F74742">
              <w:rPr>
                <w:rFonts w:cs="Arial"/>
                <w:b/>
              </w:rPr>
              <w:t>gf</w:t>
            </w:r>
            <w:r w:rsidR="00EA4734" w:rsidRPr="00F74742">
              <w:rPr>
                <w:rFonts w:cs="Arial"/>
                <w:b/>
              </w:rPr>
              <w:t>.</w:t>
            </w:r>
            <w:r w:rsidR="005C16CC" w:rsidRPr="00F74742">
              <w:rPr>
                <w:rFonts w:cs="Arial"/>
                <w:b/>
              </w:rPr>
              <w:t xml:space="preserve"> Standard BC</w:t>
            </w:r>
          </w:p>
        </w:tc>
        <w:tc>
          <w:tcPr>
            <w:tcW w:w="6433" w:type="dxa"/>
            <w:gridSpan w:val="3"/>
            <w:tcBorders>
              <w:bottom w:val="single" w:sz="4" w:space="0" w:color="808080" w:themeColor="background1" w:themeShade="80"/>
            </w:tcBorders>
          </w:tcPr>
          <w:p w:rsidR="00832B32" w:rsidRPr="00F74742" w:rsidRDefault="00832B32" w:rsidP="000209E8">
            <w:pPr>
              <w:tabs>
                <w:tab w:val="left" w:pos="1190"/>
              </w:tabs>
              <w:spacing w:before="200" w:after="200"/>
              <w:rPr>
                <w:rFonts w:cs="Arial"/>
              </w:rPr>
            </w:pPr>
          </w:p>
        </w:tc>
      </w:tr>
      <w:tr w:rsidR="00F5187C" w:rsidRPr="00F74742" w:rsidTr="00142DFA">
        <w:tc>
          <w:tcPr>
            <w:tcW w:w="9235" w:type="dxa"/>
            <w:gridSpan w:val="4"/>
            <w:tcBorders>
              <w:bottom w:val="nil"/>
            </w:tcBorders>
          </w:tcPr>
          <w:p w:rsidR="00F5187C" w:rsidRPr="00F74742" w:rsidRDefault="00F5187C" w:rsidP="000209E8">
            <w:pPr>
              <w:spacing w:before="200" w:after="200"/>
              <w:rPr>
                <w:rFonts w:cs="Arial"/>
                <w:b/>
              </w:rPr>
            </w:pPr>
            <w:r w:rsidRPr="00F74742">
              <w:rPr>
                <w:rFonts w:cs="Arial"/>
                <w:b/>
              </w:rPr>
              <w:t>Aufgabenformat</w:t>
            </w:r>
          </w:p>
        </w:tc>
      </w:tr>
      <w:tr w:rsidR="00F17F92" w:rsidRPr="00F74742" w:rsidTr="00142DFA">
        <w:trPr>
          <w:trHeight w:val="336"/>
        </w:trPr>
        <w:tc>
          <w:tcPr>
            <w:tcW w:w="3078" w:type="dxa"/>
            <w:gridSpan w:val="2"/>
            <w:tcBorders>
              <w:top w:val="nil"/>
              <w:bottom w:val="single" w:sz="4" w:space="0" w:color="808080" w:themeColor="background1" w:themeShade="80"/>
              <w:right w:val="nil"/>
            </w:tcBorders>
          </w:tcPr>
          <w:p w:rsidR="00F17F92" w:rsidRPr="00F74742" w:rsidRDefault="00F17F92" w:rsidP="000209E8">
            <w:pPr>
              <w:tabs>
                <w:tab w:val="left" w:pos="840"/>
              </w:tabs>
              <w:spacing w:before="200" w:after="200"/>
              <w:rPr>
                <w:rFonts w:cs="Arial"/>
                <w:b/>
              </w:rPr>
            </w:pPr>
            <w:r w:rsidRPr="00F74742">
              <w:rPr>
                <w:rFonts w:cs="Arial"/>
                <w:b/>
              </w:rPr>
              <w:t>offen</w:t>
            </w:r>
            <w:r w:rsidR="00334567" w:rsidRPr="00F74742">
              <w:rPr>
                <w:rFonts w:cs="Arial"/>
                <w:b/>
                <w:sz w:val="24"/>
                <w:szCs w:val="24"/>
              </w:rPr>
              <w:tab/>
            </w:r>
          </w:p>
        </w:tc>
        <w:tc>
          <w:tcPr>
            <w:tcW w:w="3078" w:type="dxa"/>
            <w:tcBorders>
              <w:top w:val="nil"/>
              <w:left w:val="nil"/>
              <w:bottom w:val="single" w:sz="4" w:space="0" w:color="808080" w:themeColor="background1" w:themeShade="80"/>
              <w:right w:val="nil"/>
            </w:tcBorders>
          </w:tcPr>
          <w:p w:rsidR="00F17F92" w:rsidRPr="00F74742" w:rsidRDefault="00EC0753" w:rsidP="000209E8">
            <w:pPr>
              <w:spacing w:before="200" w:after="200"/>
              <w:rPr>
                <w:rFonts w:cs="Arial"/>
                <w:b/>
              </w:rPr>
            </w:pPr>
            <w:r>
              <w:rPr>
                <w:rFonts w:cs="Arial"/>
                <w:b/>
              </w:rPr>
              <w:t>h</w:t>
            </w:r>
            <w:r w:rsidR="00F17F92" w:rsidRPr="00F74742">
              <w:rPr>
                <w:rFonts w:cs="Arial"/>
                <w:b/>
              </w:rPr>
              <w:t>alboffen</w:t>
            </w:r>
            <w:r w:rsidR="00B52EB2">
              <w:rPr>
                <w:rFonts w:cs="Arial"/>
                <w:b/>
              </w:rPr>
              <w:t xml:space="preserve"> </w:t>
            </w:r>
            <w:r w:rsidR="00447565">
              <w:rPr>
                <w:rFonts w:cs="Arial"/>
                <w:b/>
              </w:rPr>
              <w:t>x</w:t>
            </w:r>
          </w:p>
        </w:tc>
        <w:tc>
          <w:tcPr>
            <w:tcW w:w="3079" w:type="dxa"/>
            <w:tcBorders>
              <w:top w:val="nil"/>
              <w:left w:val="nil"/>
              <w:bottom w:val="single" w:sz="4" w:space="0" w:color="808080" w:themeColor="background1" w:themeShade="80"/>
            </w:tcBorders>
          </w:tcPr>
          <w:p w:rsidR="00F17F92" w:rsidRPr="00F74742" w:rsidRDefault="00F17F92" w:rsidP="000209E8">
            <w:pPr>
              <w:tabs>
                <w:tab w:val="left" w:pos="1735"/>
              </w:tabs>
              <w:spacing w:before="200" w:after="200"/>
              <w:rPr>
                <w:rFonts w:cs="Arial"/>
                <w:b/>
              </w:rPr>
            </w:pPr>
            <w:r w:rsidRPr="00F74742">
              <w:rPr>
                <w:rFonts w:cs="Arial"/>
                <w:b/>
              </w:rPr>
              <w:t>geschlossen</w:t>
            </w:r>
            <w:r w:rsidR="00334567" w:rsidRPr="00F74742">
              <w:rPr>
                <w:rFonts w:cs="Arial"/>
                <w:b/>
              </w:rPr>
              <w:tab/>
            </w:r>
          </w:p>
        </w:tc>
      </w:tr>
      <w:tr w:rsidR="00F17F92" w:rsidRPr="00F74742" w:rsidTr="00142DFA">
        <w:trPr>
          <w:trHeight w:val="269"/>
        </w:trPr>
        <w:tc>
          <w:tcPr>
            <w:tcW w:w="9235" w:type="dxa"/>
            <w:gridSpan w:val="4"/>
            <w:tcBorders>
              <w:bottom w:val="nil"/>
            </w:tcBorders>
          </w:tcPr>
          <w:p w:rsidR="00F17F92" w:rsidRPr="00F74742" w:rsidRDefault="00F17F92" w:rsidP="000209E8">
            <w:pPr>
              <w:spacing w:before="200" w:after="200"/>
              <w:rPr>
                <w:rFonts w:cs="Arial"/>
                <w:b/>
              </w:rPr>
            </w:pPr>
            <w:r w:rsidRPr="00F74742">
              <w:rPr>
                <w:rFonts w:cs="Arial"/>
                <w:b/>
              </w:rPr>
              <w:t xml:space="preserve">Erprobung </w:t>
            </w:r>
            <w:r w:rsidR="00971722" w:rsidRPr="00F74742">
              <w:rPr>
                <w:rFonts w:cs="Arial"/>
                <w:b/>
              </w:rPr>
              <w:t>im Unterricht</w:t>
            </w:r>
            <w:r w:rsidRPr="00F74742">
              <w:rPr>
                <w:rFonts w:cs="Arial"/>
                <w:b/>
              </w:rPr>
              <w:t>:</w:t>
            </w:r>
          </w:p>
        </w:tc>
      </w:tr>
      <w:tr w:rsidR="00F17F92" w:rsidRPr="00F74742" w:rsidTr="00142DFA">
        <w:trPr>
          <w:trHeight w:val="259"/>
        </w:trPr>
        <w:tc>
          <w:tcPr>
            <w:tcW w:w="3078" w:type="dxa"/>
            <w:gridSpan w:val="2"/>
            <w:tcBorders>
              <w:top w:val="nil"/>
              <w:bottom w:val="single" w:sz="4" w:space="0" w:color="808080" w:themeColor="background1" w:themeShade="80"/>
              <w:right w:val="nil"/>
            </w:tcBorders>
          </w:tcPr>
          <w:p w:rsidR="00F17F92" w:rsidRPr="00F74742" w:rsidRDefault="008A1768" w:rsidP="000209E8">
            <w:pPr>
              <w:spacing w:before="200" w:after="200"/>
              <w:rPr>
                <w:rFonts w:cs="Arial"/>
                <w:b/>
              </w:rPr>
            </w:pPr>
            <w:r w:rsidRPr="00F74742">
              <w:rPr>
                <w:rFonts w:cs="Arial"/>
                <w:b/>
              </w:rPr>
              <w:t>Datum</w:t>
            </w:r>
            <w:r w:rsidR="00F5187C" w:rsidRPr="00F74742">
              <w:rPr>
                <w:rFonts w:cs="Arial"/>
                <w:b/>
              </w:rPr>
              <w:t xml:space="preserve"> </w:t>
            </w:r>
          </w:p>
        </w:tc>
        <w:tc>
          <w:tcPr>
            <w:tcW w:w="3078" w:type="dxa"/>
            <w:tcBorders>
              <w:top w:val="nil"/>
              <w:left w:val="nil"/>
              <w:bottom w:val="single" w:sz="4" w:space="0" w:color="808080" w:themeColor="background1" w:themeShade="80"/>
              <w:right w:val="nil"/>
            </w:tcBorders>
          </w:tcPr>
          <w:p w:rsidR="00F17F92" w:rsidRPr="00F74742" w:rsidRDefault="00971722" w:rsidP="000209E8">
            <w:pPr>
              <w:spacing w:before="200" w:after="200"/>
              <w:rPr>
                <w:rFonts w:cs="Arial"/>
                <w:b/>
              </w:rPr>
            </w:pPr>
            <w:r w:rsidRPr="00F74742">
              <w:rPr>
                <w:rFonts w:cs="Arial"/>
                <w:b/>
              </w:rPr>
              <w:t>Jahrgangsstufe</w:t>
            </w:r>
            <w:r w:rsidR="00F17F92" w:rsidRPr="00F74742">
              <w:rPr>
                <w:rFonts w:cs="Arial"/>
                <w:b/>
              </w:rPr>
              <w:t>:</w:t>
            </w:r>
            <w:r w:rsidR="00F5187C" w:rsidRPr="00F74742">
              <w:rPr>
                <w:rFonts w:cs="Arial"/>
                <w:b/>
              </w:rPr>
              <w:t xml:space="preserve"> </w:t>
            </w:r>
          </w:p>
        </w:tc>
        <w:tc>
          <w:tcPr>
            <w:tcW w:w="3079" w:type="dxa"/>
            <w:tcBorders>
              <w:top w:val="nil"/>
              <w:left w:val="nil"/>
              <w:bottom w:val="single" w:sz="4" w:space="0" w:color="808080" w:themeColor="background1" w:themeShade="80"/>
            </w:tcBorders>
          </w:tcPr>
          <w:p w:rsidR="00F17F92" w:rsidRPr="00F74742" w:rsidRDefault="00F17F92" w:rsidP="000209E8">
            <w:pPr>
              <w:spacing w:before="200" w:after="200"/>
              <w:rPr>
                <w:rFonts w:cs="Arial"/>
                <w:b/>
              </w:rPr>
            </w:pPr>
            <w:r w:rsidRPr="00F74742">
              <w:rPr>
                <w:rFonts w:cs="Arial"/>
                <w:b/>
              </w:rPr>
              <w:t>Schulart:</w:t>
            </w:r>
            <w:r w:rsidR="00F5187C" w:rsidRPr="00F74742">
              <w:rPr>
                <w:rFonts w:cs="Arial"/>
                <w:b/>
              </w:rPr>
              <w:t xml:space="preserve"> </w:t>
            </w:r>
          </w:p>
        </w:tc>
      </w:tr>
      <w:tr w:rsidR="00F5187C" w:rsidRPr="00F74742" w:rsidTr="00C16860">
        <w:trPr>
          <w:trHeight w:val="259"/>
        </w:trPr>
        <w:tc>
          <w:tcPr>
            <w:tcW w:w="2802" w:type="dxa"/>
            <w:tcBorders>
              <w:top w:val="single" w:sz="4" w:space="0" w:color="808080" w:themeColor="background1" w:themeShade="80"/>
            </w:tcBorders>
          </w:tcPr>
          <w:p w:rsidR="00F5187C" w:rsidRPr="00F74742" w:rsidRDefault="00F5187C" w:rsidP="000209E8">
            <w:pPr>
              <w:spacing w:before="200" w:after="200"/>
              <w:rPr>
                <w:rFonts w:cs="Arial"/>
                <w:b/>
              </w:rPr>
            </w:pPr>
            <w:proofErr w:type="spellStart"/>
            <w:r w:rsidRPr="00F74742">
              <w:rPr>
                <w:rFonts w:cs="Arial"/>
                <w:b/>
              </w:rPr>
              <w:t>Verschlagwortung</w:t>
            </w:r>
            <w:proofErr w:type="spellEnd"/>
          </w:p>
        </w:tc>
        <w:tc>
          <w:tcPr>
            <w:tcW w:w="6433" w:type="dxa"/>
            <w:gridSpan w:val="3"/>
            <w:tcBorders>
              <w:top w:val="single" w:sz="4" w:space="0" w:color="808080" w:themeColor="background1" w:themeShade="80"/>
            </w:tcBorders>
          </w:tcPr>
          <w:p w:rsidR="00F5187C" w:rsidRPr="00F74742" w:rsidRDefault="002206D2" w:rsidP="000209E8">
            <w:pPr>
              <w:spacing w:before="200" w:after="200"/>
              <w:rPr>
                <w:rFonts w:cs="Arial"/>
              </w:rPr>
            </w:pPr>
            <w:r>
              <w:rPr>
                <w:rFonts w:cs="Arial"/>
              </w:rPr>
              <w:t>Ethische Konflikte, Alltagskonflikte</w:t>
            </w:r>
          </w:p>
        </w:tc>
      </w:tr>
    </w:tbl>
    <w:p w:rsidR="00937B60" w:rsidRPr="00F74742" w:rsidRDefault="00937B60" w:rsidP="000209E8">
      <w:pPr>
        <w:spacing w:line="240" w:lineRule="auto"/>
        <w:rPr>
          <w:rFonts w:cs="Arial"/>
        </w:rPr>
        <w:sectPr w:rsidR="00937B60" w:rsidRPr="00F74742" w:rsidSect="00C2632F">
          <w:headerReference w:type="default" r:id="rId8"/>
          <w:footerReference w:type="default" r:id="rId9"/>
          <w:pgSz w:w="11906" w:h="16838"/>
          <w:pgMar w:top="1417" w:right="1417" w:bottom="1134" w:left="1417" w:header="708" w:footer="708" w:gutter="0"/>
          <w:cols w:space="708"/>
          <w:docGrid w:linePitch="360"/>
        </w:sectPr>
      </w:pPr>
    </w:p>
    <w:p w:rsidR="00B94BD8" w:rsidRPr="00F74742" w:rsidRDefault="00B94BD8" w:rsidP="000209E8">
      <w:pPr>
        <w:spacing w:line="240" w:lineRule="auto"/>
        <w:rPr>
          <w:rFonts w:cs="Arial"/>
        </w:rPr>
      </w:pPr>
    </w:p>
    <w:p w:rsidR="002C1C59" w:rsidRPr="00F74742" w:rsidRDefault="002C1C59" w:rsidP="000209E8">
      <w:pPr>
        <w:spacing w:before="60" w:after="60"/>
        <w:rPr>
          <w:rFonts w:cs="Arial"/>
          <w:b/>
          <w:sz w:val="24"/>
          <w:szCs w:val="24"/>
        </w:rPr>
      </w:pPr>
    </w:p>
    <w:p w:rsidR="00CD3278" w:rsidRPr="0020115E" w:rsidRDefault="00CD3278" w:rsidP="000209E8">
      <w:pPr>
        <w:spacing w:before="60" w:after="60"/>
        <w:rPr>
          <w:rFonts w:cs="Arial"/>
          <w:b/>
          <w:sz w:val="24"/>
          <w:szCs w:val="24"/>
        </w:rPr>
      </w:pPr>
      <w:r w:rsidRPr="0020115E">
        <w:rPr>
          <w:rFonts w:cs="Arial"/>
          <w:b/>
          <w:sz w:val="24"/>
          <w:szCs w:val="24"/>
        </w:rPr>
        <w:t>Vorbemerkung</w:t>
      </w:r>
    </w:p>
    <w:p w:rsidR="00CD3278" w:rsidRPr="0020115E" w:rsidRDefault="00CD3278" w:rsidP="000209E8">
      <w:pPr>
        <w:spacing w:before="60" w:after="60"/>
        <w:rPr>
          <w:rFonts w:cs="Arial"/>
          <w:sz w:val="24"/>
          <w:szCs w:val="24"/>
        </w:rPr>
      </w:pPr>
    </w:p>
    <w:p w:rsidR="00A16097" w:rsidRDefault="006B2750" w:rsidP="000209E8">
      <w:pPr>
        <w:spacing w:before="60" w:after="60"/>
        <w:rPr>
          <w:rFonts w:cs="Arial"/>
          <w:sz w:val="24"/>
          <w:szCs w:val="24"/>
        </w:rPr>
      </w:pPr>
      <w:r>
        <w:rPr>
          <w:rFonts w:cs="Arial"/>
          <w:sz w:val="24"/>
          <w:szCs w:val="24"/>
        </w:rPr>
        <w:t>Die Aufgaben zur</w:t>
      </w:r>
      <w:r w:rsidR="0020115E" w:rsidRPr="0020115E">
        <w:rPr>
          <w:rFonts w:cs="Arial"/>
          <w:sz w:val="24"/>
          <w:szCs w:val="24"/>
        </w:rPr>
        <w:t xml:space="preserve"> Kompetenz</w:t>
      </w:r>
      <w:r w:rsidR="007C35A9">
        <w:rPr>
          <w:rFonts w:cs="Arial"/>
          <w:sz w:val="24"/>
          <w:szCs w:val="24"/>
        </w:rPr>
        <w:t xml:space="preserve"> </w:t>
      </w:r>
      <w:r w:rsidR="00B52EB2">
        <w:rPr>
          <w:rFonts w:cs="Arial"/>
          <w:sz w:val="24"/>
          <w:szCs w:val="24"/>
        </w:rPr>
        <w:t>Urteilen</w:t>
      </w:r>
      <w:r w:rsidR="0020115E">
        <w:rPr>
          <w:rFonts w:cs="Arial"/>
          <w:sz w:val="24"/>
          <w:szCs w:val="24"/>
        </w:rPr>
        <w:t xml:space="preserve"> </w:t>
      </w:r>
      <w:r w:rsidR="00B52EB2">
        <w:rPr>
          <w:rFonts w:cs="Arial"/>
          <w:sz w:val="24"/>
          <w:szCs w:val="24"/>
        </w:rPr>
        <w:t xml:space="preserve">geben </w:t>
      </w:r>
      <w:r w:rsidR="0020115E">
        <w:rPr>
          <w:rFonts w:cs="Arial"/>
          <w:sz w:val="24"/>
          <w:szCs w:val="24"/>
        </w:rPr>
        <w:t xml:space="preserve">den Schülerinnen und Schülern durch die Präsentation verschiedener </w:t>
      </w:r>
      <w:r w:rsidR="00B52EB2">
        <w:rPr>
          <w:rFonts w:cs="Arial"/>
          <w:sz w:val="24"/>
          <w:szCs w:val="24"/>
        </w:rPr>
        <w:t xml:space="preserve">ethischer </w:t>
      </w:r>
      <w:r w:rsidR="00DF1F88">
        <w:rPr>
          <w:rFonts w:cs="Arial"/>
          <w:sz w:val="24"/>
          <w:szCs w:val="24"/>
        </w:rPr>
        <w:t xml:space="preserve">bzw. philosophischer Problemstellungen </w:t>
      </w:r>
      <w:r w:rsidR="0020115E">
        <w:rPr>
          <w:rFonts w:cs="Arial"/>
          <w:sz w:val="24"/>
          <w:szCs w:val="24"/>
        </w:rPr>
        <w:t xml:space="preserve">die Möglichkeit, </w:t>
      </w:r>
      <w:r w:rsidR="00B52EB2">
        <w:rPr>
          <w:rFonts w:cs="Arial"/>
          <w:sz w:val="24"/>
          <w:szCs w:val="24"/>
        </w:rPr>
        <w:t>begründete Urteile zu entwickeln</w:t>
      </w:r>
      <w:r w:rsidR="0020115E">
        <w:rPr>
          <w:rFonts w:cs="Arial"/>
          <w:sz w:val="24"/>
          <w:szCs w:val="24"/>
        </w:rPr>
        <w:t xml:space="preserve">. </w:t>
      </w:r>
      <w:r w:rsidR="00DF1F88">
        <w:rPr>
          <w:rFonts w:cs="Arial"/>
          <w:sz w:val="24"/>
          <w:szCs w:val="24"/>
        </w:rPr>
        <w:t>Dabei ist zu berücksichti</w:t>
      </w:r>
      <w:r>
        <w:rPr>
          <w:rFonts w:cs="Arial"/>
          <w:sz w:val="24"/>
          <w:szCs w:val="24"/>
        </w:rPr>
        <w:t xml:space="preserve">gen, dass die Kompetenz </w:t>
      </w:r>
      <w:r w:rsidR="007C35A9">
        <w:rPr>
          <w:rFonts w:cs="Arial"/>
          <w:sz w:val="24"/>
          <w:szCs w:val="24"/>
        </w:rPr>
        <w:t>Urteilen</w:t>
      </w:r>
      <w:r w:rsidR="00DF1F88">
        <w:rPr>
          <w:rFonts w:cs="Arial"/>
          <w:sz w:val="24"/>
          <w:szCs w:val="24"/>
        </w:rPr>
        <w:t xml:space="preserve"> die anderen Kompetenz</w:t>
      </w:r>
      <w:r>
        <w:rPr>
          <w:rFonts w:cs="Arial"/>
          <w:sz w:val="24"/>
          <w:szCs w:val="24"/>
        </w:rPr>
        <w:t>en</w:t>
      </w:r>
      <w:r w:rsidR="00DF1F88">
        <w:rPr>
          <w:rFonts w:cs="Arial"/>
          <w:sz w:val="24"/>
          <w:szCs w:val="24"/>
        </w:rPr>
        <w:t xml:space="preserve"> der jeweili</w:t>
      </w:r>
      <w:r>
        <w:rPr>
          <w:rFonts w:cs="Arial"/>
          <w:sz w:val="24"/>
          <w:szCs w:val="24"/>
        </w:rPr>
        <w:t>gen Kompetenzbere</w:t>
      </w:r>
      <w:r>
        <w:rPr>
          <w:rFonts w:cs="Arial"/>
          <w:sz w:val="24"/>
          <w:szCs w:val="24"/>
        </w:rPr>
        <w:t>i</w:t>
      </w:r>
      <w:r>
        <w:rPr>
          <w:rFonts w:cs="Arial"/>
          <w:sz w:val="24"/>
          <w:szCs w:val="24"/>
        </w:rPr>
        <w:t>che</w:t>
      </w:r>
      <w:r w:rsidR="00DF1F88">
        <w:rPr>
          <w:rFonts w:cs="Arial"/>
          <w:sz w:val="24"/>
          <w:szCs w:val="24"/>
        </w:rPr>
        <w:t xml:space="preserve"> voraussetzt. Um zu einem begründeten und reflektierten Urteil zu gelangen, muss zunächst das ethische bzw. philosophische Problem wahrgenommen und g</w:t>
      </w:r>
      <w:r w:rsidR="00DF1F88">
        <w:rPr>
          <w:rFonts w:cs="Arial"/>
          <w:sz w:val="24"/>
          <w:szCs w:val="24"/>
        </w:rPr>
        <w:t>e</w:t>
      </w:r>
      <w:r w:rsidR="00DF1F88">
        <w:rPr>
          <w:rFonts w:cs="Arial"/>
          <w:sz w:val="24"/>
          <w:szCs w:val="24"/>
        </w:rPr>
        <w:lastRenderedPageBreak/>
        <w:t>deutet werden. Dann müssen die verschiedenen Perspektiven eingenommen und entsprechende ethische bzw. philosophische Positionen und ihre Argumente erarbe</w:t>
      </w:r>
      <w:r w:rsidR="00DF1F88">
        <w:rPr>
          <w:rFonts w:cs="Arial"/>
          <w:sz w:val="24"/>
          <w:szCs w:val="24"/>
        </w:rPr>
        <w:t>i</w:t>
      </w:r>
      <w:r w:rsidR="00DF1F88">
        <w:rPr>
          <w:rFonts w:cs="Arial"/>
          <w:sz w:val="24"/>
          <w:szCs w:val="24"/>
        </w:rPr>
        <w:t>tet und beurteilt werden. Dazu ist jeweils eine Verständigung im Dialog erforderlich. Erst auf dieser Grundlage kann ein begründetes und reflektiertes Urteil verfasst we</w:t>
      </w:r>
      <w:r w:rsidR="00DF1F88">
        <w:rPr>
          <w:rFonts w:cs="Arial"/>
          <w:sz w:val="24"/>
          <w:szCs w:val="24"/>
        </w:rPr>
        <w:t>r</w:t>
      </w:r>
      <w:r w:rsidR="007C35A9">
        <w:rPr>
          <w:rFonts w:cs="Arial"/>
          <w:sz w:val="24"/>
          <w:szCs w:val="24"/>
        </w:rPr>
        <w:t>den; vgl. dazu auch RLP, Kap. 1.2</w:t>
      </w:r>
      <w:r w:rsidR="00DF1F88" w:rsidRPr="00DF1F88">
        <w:rPr>
          <w:rFonts w:cs="Arial"/>
          <w:sz w:val="24"/>
          <w:szCs w:val="24"/>
        </w:rPr>
        <w:t xml:space="preserve">: </w:t>
      </w:r>
      <w:r w:rsidR="00DF1F88">
        <w:rPr>
          <w:rFonts w:cs="Arial"/>
          <w:sz w:val="24"/>
          <w:szCs w:val="24"/>
        </w:rPr>
        <w:t>„</w:t>
      </w:r>
      <w:r w:rsidR="00DF1F88" w:rsidRPr="00DF1F88">
        <w:rPr>
          <w:sz w:val="24"/>
          <w:szCs w:val="24"/>
        </w:rPr>
        <w:t>Zentrale Voraussetzungen für die Entwicklung des Kom</w:t>
      </w:r>
      <w:r w:rsidR="007C35A9">
        <w:rPr>
          <w:sz w:val="24"/>
          <w:szCs w:val="24"/>
        </w:rPr>
        <w:t xml:space="preserve">petenzbereichs Argumentieren und urteilen sind die Kompetenzbereiche </w:t>
      </w:r>
      <w:r w:rsidR="00DF1F88" w:rsidRPr="00DF1F88">
        <w:rPr>
          <w:sz w:val="24"/>
          <w:szCs w:val="24"/>
        </w:rPr>
        <w:t>Wahr</w:t>
      </w:r>
      <w:r w:rsidR="007C35A9">
        <w:rPr>
          <w:sz w:val="24"/>
          <w:szCs w:val="24"/>
        </w:rPr>
        <w:t xml:space="preserve">nehmen und deuten, </w:t>
      </w:r>
      <w:r w:rsidR="00DF1F88" w:rsidRPr="00DF1F88">
        <w:rPr>
          <w:sz w:val="24"/>
          <w:szCs w:val="24"/>
        </w:rPr>
        <w:t>Perspek</w:t>
      </w:r>
      <w:r w:rsidR="007C35A9">
        <w:rPr>
          <w:sz w:val="24"/>
          <w:szCs w:val="24"/>
        </w:rPr>
        <w:t xml:space="preserve">tiven einnehmen und </w:t>
      </w:r>
      <w:r w:rsidR="00DF1F88" w:rsidRPr="00DF1F88">
        <w:rPr>
          <w:sz w:val="24"/>
          <w:szCs w:val="24"/>
        </w:rPr>
        <w:t>Sich im Dialog verständ</w:t>
      </w:r>
      <w:r w:rsidR="00DF1F88" w:rsidRPr="00DF1F88">
        <w:rPr>
          <w:sz w:val="24"/>
          <w:szCs w:val="24"/>
        </w:rPr>
        <w:t>i</w:t>
      </w:r>
      <w:r w:rsidR="007C35A9">
        <w:rPr>
          <w:sz w:val="24"/>
          <w:szCs w:val="24"/>
        </w:rPr>
        <w:t>gen."</w:t>
      </w:r>
    </w:p>
    <w:p w:rsidR="00A16097" w:rsidRDefault="00A16097" w:rsidP="000209E8">
      <w:pPr>
        <w:spacing w:before="60" w:after="60"/>
        <w:rPr>
          <w:rFonts w:cs="Arial"/>
          <w:sz w:val="24"/>
          <w:szCs w:val="24"/>
        </w:rPr>
      </w:pPr>
      <w:r>
        <w:rPr>
          <w:rFonts w:cs="Arial"/>
          <w:sz w:val="24"/>
          <w:szCs w:val="24"/>
        </w:rPr>
        <w:t>Die Aufgaben und die Angaben des Erwartungshorizonts sind bezogen auf die Ko</w:t>
      </w:r>
      <w:r>
        <w:rPr>
          <w:rFonts w:cs="Arial"/>
          <w:sz w:val="24"/>
          <w:szCs w:val="24"/>
        </w:rPr>
        <w:t>m</w:t>
      </w:r>
      <w:r w:rsidR="007C35A9">
        <w:rPr>
          <w:rFonts w:cs="Arial"/>
          <w:sz w:val="24"/>
          <w:szCs w:val="24"/>
        </w:rPr>
        <w:t>petenz Urteilen</w:t>
      </w:r>
      <w:r>
        <w:rPr>
          <w:rFonts w:cs="Arial"/>
          <w:sz w:val="24"/>
          <w:szCs w:val="24"/>
        </w:rPr>
        <w:t>. Diese Kompetenz wird erst im Anschluss an die anderen Kompete</w:t>
      </w:r>
      <w:r>
        <w:rPr>
          <w:rFonts w:cs="Arial"/>
          <w:sz w:val="24"/>
          <w:szCs w:val="24"/>
        </w:rPr>
        <w:t>n</w:t>
      </w:r>
      <w:r w:rsidR="007C35A9">
        <w:rPr>
          <w:rFonts w:cs="Arial"/>
          <w:sz w:val="24"/>
          <w:szCs w:val="24"/>
        </w:rPr>
        <w:t xml:space="preserve">zen des Kompetenzbereichs </w:t>
      </w:r>
      <w:r>
        <w:rPr>
          <w:rFonts w:cs="Arial"/>
          <w:sz w:val="24"/>
          <w:szCs w:val="24"/>
        </w:rPr>
        <w:t xml:space="preserve">Argumentieren und </w:t>
      </w:r>
      <w:r w:rsidR="007C35A9">
        <w:rPr>
          <w:rFonts w:cs="Arial"/>
          <w:sz w:val="24"/>
          <w:szCs w:val="24"/>
        </w:rPr>
        <w:t>Urteilen</w:t>
      </w:r>
      <w:r>
        <w:rPr>
          <w:rFonts w:cs="Arial"/>
          <w:sz w:val="24"/>
          <w:szCs w:val="24"/>
        </w:rPr>
        <w:t xml:space="preserve"> realisiert. Daher fehlen in den Aufgaben auch Arbeitshinweise</w:t>
      </w:r>
      <w:r w:rsidR="007C35A9">
        <w:rPr>
          <w:rFonts w:cs="Arial"/>
          <w:sz w:val="24"/>
          <w:szCs w:val="24"/>
        </w:rPr>
        <w:t>,</w:t>
      </w:r>
      <w:r>
        <w:rPr>
          <w:rFonts w:cs="Arial"/>
          <w:sz w:val="24"/>
          <w:szCs w:val="24"/>
        </w:rPr>
        <w:t xml:space="preserve"> wie z. B.</w:t>
      </w:r>
      <w:r w:rsidR="007C35A9">
        <w:rPr>
          <w:rFonts w:cs="Arial"/>
          <w:sz w:val="24"/>
          <w:szCs w:val="24"/>
        </w:rPr>
        <w:t>:</w:t>
      </w:r>
      <w:r>
        <w:rPr>
          <w:rFonts w:cs="Arial"/>
          <w:sz w:val="24"/>
          <w:szCs w:val="24"/>
        </w:rPr>
        <w:t xml:space="preserve"> „Erstelle zu dem zur Diskussion st</w:t>
      </w:r>
      <w:r>
        <w:rPr>
          <w:rFonts w:cs="Arial"/>
          <w:sz w:val="24"/>
          <w:szCs w:val="24"/>
        </w:rPr>
        <w:t>e</w:t>
      </w:r>
      <w:r>
        <w:rPr>
          <w:rFonts w:cs="Arial"/>
          <w:sz w:val="24"/>
          <w:szCs w:val="24"/>
        </w:rPr>
        <w:t>henden Problem eine Pro- und Kontratabelle. Finde für jede Spal</w:t>
      </w:r>
      <w:r w:rsidR="007C35A9">
        <w:rPr>
          <w:rFonts w:cs="Arial"/>
          <w:sz w:val="24"/>
          <w:szCs w:val="24"/>
        </w:rPr>
        <w:t>te mindestens zwei Argumente.“</w:t>
      </w:r>
      <w:r>
        <w:rPr>
          <w:rFonts w:cs="Arial"/>
          <w:sz w:val="24"/>
          <w:szCs w:val="24"/>
        </w:rPr>
        <w:t>Dieser Arbeitshinweis berücksichtigt insbeso</w:t>
      </w:r>
      <w:r w:rsidR="007C35A9">
        <w:rPr>
          <w:rFonts w:cs="Arial"/>
          <w:sz w:val="24"/>
          <w:szCs w:val="24"/>
        </w:rPr>
        <w:t xml:space="preserve">ndere die Kompetenz </w:t>
      </w:r>
      <w:r>
        <w:rPr>
          <w:rFonts w:cs="Arial"/>
          <w:sz w:val="24"/>
          <w:szCs w:val="24"/>
        </w:rPr>
        <w:t>A</w:t>
      </w:r>
      <w:r>
        <w:rPr>
          <w:rFonts w:cs="Arial"/>
          <w:sz w:val="24"/>
          <w:szCs w:val="24"/>
        </w:rPr>
        <w:t>r</w:t>
      </w:r>
      <w:r w:rsidR="007C35A9">
        <w:rPr>
          <w:rFonts w:cs="Arial"/>
          <w:sz w:val="24"/>
          <w:szCs w:val="24"/>
        </w:rPr>
        <w:t>gumentieren</w:t>
      </w:r>
      <w:r>
        <w:rPr>
          <w:rFonts w:cs="Arial"/>
          <w:sz w:val="24"/>
          <w:szCs w:val="24"/>
        </w:rPr>
        <w:t>. Natürlich müssen die Lernenden, bevor sie ein begründetes Urteil e</w:t>
      </w:r>
      <w:r>
        <w:rPr>
          <w:rFonts w:cs="Arial"/>
          <w:sz w:val="24"/>
          <w:szCs w:val="24"/>
        </w:rPr>
        <w:t>r</w:t>
      </w:r>
      <w:r>
        <w:rPr>
          <w:rFonts w:cs="Arial"/>
          <w:sz w:val="24"/>
          <w:szCs w:val="24"/>
        </w:rPr>
        <w:t xml:space="preserve">stellen können, immer schon verschiedene Argumente erarbeitet und geprüft haben. Auch dies bedarf der Anleitung durch die Lehrkraft. Um den Schwerpunkt </w:t>
      </w:r>
      <w:r w:rsidR="007C35A9">
        <w:rPr>
          <w:rFonts w:cs="Arial"/>
          <w:sz w:val="24"/>
          <w:szCs w:val="24"/>
        </w:rPr>
        <w:t>Urteilen</w:t>
      </w:r>
      <w:r>
        <w:rPr>
          <w:rFonts w:cs="Arial"/>
          <w:sz w:val="24"/>
          <w:szCs w:val="24"/>
        </w:rPr>
        <w:t xml:space="preserve"> deutlich zu machen, wird in den Aufgaben und im jeweiligen Erwartungshorizont auf diese vorausgehenden Schritte </w:t>
      </w:r>
      <w:r w:rsidR="008D76B3">
        <w:rPr>
          <w:rFonts w:cs="Arial"/>
          <w:sz w:val="24"/>
          <w:szCs w:val="24"/>
        </w:rPr>
        <w:t>verzichtet</w:t>
      </w:r>
      <w:r>
        <w:rPr>
          <w:rFonts w:cs="Arial"/>
          <w:sz w:val="24"/>
          <w:szCs w:val="24"/>
        </w:rPr>
        <w:t>.</w:t>
      </w:r>
    </w:p>
    <w:p w:rsidR="0081228D" w:rsidRPr="00A16097" w:rsidRDefault="0081228D" w:rsidP="000209E8">
      <w:pPr>
        <w:spacing w:before="60" w:after="60"/>
        <w:rPr>
          <w:rFonts w:cs="Arial"/>
          <w:sz w:val="24"/>
          <w:szCs w:val="24"/>
        </w:rPr>
      </w:pPr>
      <w:r>
        <w:rPr>
          <w:rFonts w:cs="Arial"/>
          <w:b/>
          <w:sz w:val="24"/>
          <w:szCs w:val="24"/>
        </w:rPr>
        <w:br w:type="page"/>
      </w:r>
    </w:p>
    <w:p w:rsidR="00C1423F" w:rsidRDefault="00C1423F" w:rsidP="00C1423F">
      <w:pPr>
        <w:spacing w:line="240" w:lineRule="auto"/>
        <w:rPr>
          <w:b/>
          <w:i/>
        </w:rPr>
      </w:pPr>
    </w:p>
    <w:p w:rsidR="00C1423F" w:rsidRDefault="007C35A9" w:rsidP="00C1423F">
      <w:pPr>
        <w:spacing w:line="240" w:lineRule="auto"/>
        <w:rPr>
          <w:b/>
          <w:sz w:val="24"/>
          <w:szCs w:val="24"/>
        </w:rPr>
      </w:pPr>
      <w:r>
        <w:rPr>
          <w:b/>
          <w:sz w:val="24"/>
          <w:szCs w:val="24"/>
        </w:rPr>
        <w:t xml:space="preserve">Aufgabe </w:t>
      </w:r>
      <w:r w:rsidR="00C1423F">
        <w:rPr>
          <w:b/>
          <w:sz w:val="24"/>
          <w:szCs w:val="24"/>
        </w:rPr>
        <w:t>(</w:t>
      </w:r>
      <w:r w:rsidR="00C1423F" w:rsidRPr="00D863E6">
        <w:rPr>
          <w:b/>
          <w:sz w:val="24"/>
          <w:szCs w:val="24"/>
        </w:rPr>
        <w:t>Niveau F</w:t>
      </w:r>
      <w:r w:rsidR="00C1423F">
        <w:rPr>
          <w:b/>
          <w:sz w:val="24"/>
          <w:szCs w:val="24"/>
        </w:rPr>
        <w:t>)</w:t>
      </w:r>
      <w:r w:rsidR="00C1423F" w:rsidRPr="00D863E6">
        <w:rPr>
          <w:b/>
          <w:sz w:val="24"/>
          <w:szCs w:val="24"/>
        </w:rPr>
        <w:t>:</w:t>
      </w:r>
      <w:r w:rsidR="00C1423F">
        <w:rPr>
          <w:b/>
          <w:sz w:val="24"/>
          <w:szCs w:val="24"/>
        </w:rPr>
        <w:t xml:space="preserve"> Ein eigener ethischer Konflikt</w:t>
      </w:r>
    </w:p>
    <w:p w:rsidR="00C1423F" w:rsidRDefault="00C1423F" w:rsidP="00C1423F">
      <w:pPr>
        <w:spacing w:line="240" w:lineRule="auto"/>
        <w:rPr>
          <w:rFonts w:cs="Arial"/>
          <w:lang w:eastAsia="de-DE"/>
        </w:rPr>
      </w:pPr>
    </w:p>
    <w:p w:rsidR="00C1423F" w:rsidRPr="00D863E6" w:rsidRDefault="00C1423F" w:rsidP="00C1423F">
      <w:pPr>
        <w:spacing w:line="240" w:lineRule="auto"/>
        <w:rPr>
          <w:b/>
          <w:sz w:val="24"/>
          <w:szCs w:val="24"/>
        </w:rPr>
      </w:pPr>
      <w:r w:rsidRPr="00FA3F0D">
        <w:rPr>
          <w:rFonts w:cs="Arial"/>
          <w:lang w:eastAsia="de-DE"/>
        </w:rPr>
        <w:t>Du hast im Unterricht eine Reihe von ethischen Konflikten kennengelernt. Nun sollst du selbst einen ethischen Konflikt beschreiben, den</w:t>
      </w:r>
      <w:r>
        <w:rPr>
          <w:rFonts w:cs="Arial"/>
          <w:lang w:eastAsia="de-DE"/>
        </w:rPr>
        <w:t xml:space="preserve"> du erlebt hast oder von dem du durch ein Familienmitglied, einen</w:t>
      </w:r>
      <w:r w:rsidRPr="00FA3F0D">
        <w:rPr>
          <w:rFonts w:cs="Arial"/>
          <w:lang w:eastAsia="de-DE"/>
        </w:rPr>
        <w:t xml:space="preserve"> Freund</w:t>
      </w:r>
      <w:r w:rsidR="00611C68">
        <w:rPr>
          <w:rFonts w:cs="Arial"/>
          <w:lang w:eastAsia="de-DE"/>
        </w:rPr>
        <w:t xml:space="preserve">, </w:t>
      </w:r>
      <w:r>
        <w:rPr>
          <w:rFonts w:cs="Arial"/>
          <w:lang w:eastAsia="de-DE"/>
        </w:rPr>
        <w:t xml:space="preserve">eine Freundin </w:t>
      </w:r>
      <w:r w:rsidRPr="00FA3F0D">
        <w:rPr>
          <w:rFonts w:cs="Arial"/>
          <w:lang w:eastAsia="de-DE"/>
        </w:rPr>
        <w:t>oder sonst jemand</w:t>
      </w:r>
      <w:r>
        <w:rPr>
          <w:rFonts w:cs="Arial"/>
          <w:lang w:eastAsia="de-DE"/>
        </w:rPr>
        <w:t>en weißt</w:t>
      </w:r>
      <w:r w:rsidRPr="00FA3F0D">
        <w:rPr>
          <w:rFonts w:cs="Arial"/>
          <w:lang w:eastAsia="de-DE"/>
        </w:rPr>
        <w:t>.</w:t>
      </w:r>
    </w:p>
    <w:p w:rsidR="00C1423F" w:rsidRPr="00FA3F0D" w:rsidRDefault="00C1423F" w:rsidP="00C1423F">
      <w:pPr>
        <w:pStyle w:val="Listenabsatz"/>
        <w:autoSpaceDE w:val="0"/>
        <w:autoSpaceDN w:val="0"/>
        <w:adjustRightInd w:val="0"/>
        <w:spacing w:line="240" w:lineRule="auto"/>
        <w:ind w:left="720"/>
        <w:rPr>
          <w:rFonts w:cs="Arial"/>
          <w:b/>
          <w:bCs/>
          <w:sz w:val="24"/>
          <w:szCs w:val="24"/>
          <w:lang w:eastAsia="de-DE"/>
        </w:rPr>
      </w:pPr>
    </w:p>
    <w:p w:rsidR="00C1423F" w:rsidRDefault="00C1423F" w:rsidP="00C1423F">
      <w:pPr>
        <w:pStyle w:val="Listenabsatz"/>
        <w:numPr>
          <w:ilvl w:val="0"/>
          <w:numId w:val="18"/>
        </w:numPr>
        <w:spacing w:line="240" w:lineRule="auto"/>
        <w:rPr>
          <w:rFonts w:cs="Arial"/>
          <w:lang w:eastAsia="de-DE"/>
        </w:rPr>
      </w:pPr>
      <w:r w:rsidRPr="00FA3F0D">
        <w:rPr>
          <w:rFonts w:cs="Arial"/>
          <w:lang w:eastAsia="de-DE"/>
        </w:rPr>
        <w:t>Beschreibe zunächst den ethischen Konflikt so ausführlich, dass andere verstehen, worum es genau in dem Konflikt geht.</w:t>
      </w:r>
    </w:p>
    <w:p w:rsidR="00C1423F" w:rsidRPr="00FA3F0D" w:rsidRDefault="00C1423F" w:rsidP="00C1423F">
      <w:pPr>
        <w:pStyle w:val="Listenabsatz"/>
        <w:numPr>
          <w:ilvl w:val="0"/>
          <w:numId w:val="18"/>
        </w:numPr>
        <w:spacing w:line="240" w:lineRule="auto"/>
        <w:rPr>
          <w:rFonts w:cs="Arial"/>
          <w:lang w:eastAsia="de-DE"/>
        </w:rPr>
      </w:pPr>
      <w:r>
        <w:rPr>
          <w:rFonts w:cs="Arial"/>
          <w:lang w:eastAsia="de-DE"/>
        </w:rPr>
        <w:t>Nenne die Alternativen, die es in deinem konkreten Beispiel gibt, um den Konflikt zu lösen.</w:t>
      </w:r>
    </w:p>
    <w:p w:rsidR="00C1423F" w:rsidRPr="00C1423F" w:rsidRDefault="00C1423F" w:rsidP="00C1423F">
      <w:pPr>
        <w:pStyle w:val="Listenabsatz"/>
        <w:numPr>
          <w:ilvl w:val="0"/>
          <w:numId w:val="18"/>
        </w:numPr>
        <w:spacing w:line="240" w:lineRule="auto"/>
        <w:rPr>
          <w:rFonts w:cs="Arial"/>
          <w:i/>
          <w:lang w:eastAsia="de-DE"/>
        </w:rPr>
      </w:pPr>
      <w:r>
        <w:rPr>
          <w:rFonts w:cs="Arial"/>
          <w:lang w:eastAsia="de-DE"/>
        </w:rPr>
        <w:t xml:space="preserve">Entscheide nun, welche der Alternativen aus ethischer Perspektive die richtige ist. </w:t>
      </w:r>
      <w:r w:rsidRPr="00FA3F0D">
        <w:rPr>
          <w:rFonts w:cs="Arial"/>
          <w:lang w:eastAsia="de-DE"/>
        </w:rPr>
        <w:t xml:space="preserve">Formuliere </w:t>
      </w:r>
      <w:r>
        <w:rPr>
          <w:rFonts w:cs="Arial"/>
          <w:lang w:eastAsia="de-DE"/>
        </w:rPr>
        <w:t>dazu</w:t>
      </w:r>
      <w:r w:rsidRPr="00FA3F0D">
        <w:rPr>
          <w:rFonts w:cs="Arial"/>
          <w:lang w:eastAsia="de-DE"/>
        </w:rPr>
        <w:t xml:space="preserve"> ein begründetes Urteil. Berücksichtige da</w:t>
      </w:r>
      <w:r>
        <w:rPr>
          <w:rFonts w:cs="Arial"/>
          <w:lang w:eastAsia="de-DE"/>
        </w:rPr>
        <w:t xml:space="preserve">bei </w:t>
      </w:r>
      <w:r w:rsidRPr="00FA3F0D">
        <w:rPr>
          <w:rFonts w:cs="Arial"/>
          <w:lang w:eastAsia="de-DE"/>
        </w:rPr>
        <w:t>die Kenntnisse, die du im Un</w:t>
      </w:r>
      <w:r>
        <w:rPr>
          <w:rFonts w:cs="Arial"/>
          <w:lang w:eastAsia="de-DE"/>
        </w:rPr>
        <w:t>terr</w:t>
      </w:r>
      <w:r w:rsidRPr="00FA3F0D">
        <w:rPr>
          <w:rFonts w:cs="Arial"/>
          <w:lang w:eastAsia="de-DE"/>
        </w:rPr>
        <w:t>icht zur Beurteilung ethischer Konflikte erworben hast.</w:t>
      </w:r>
      <w:r>
        <w:rPr>
          <w:rFonts w:cs="Arial"/>
          <w:lang w:eastAsia="de-DE"/>
        </w:rPr>
        <w:tab/>
      </w:r>
    </w:p>
    <w:p w:rsidR="00C1423F" w:rsidRPr="00C1423F" w:rsidRDefault="00C1423F" w:rsidP="007C35A9">
      <w:pPr>
        <w:pStyle w:val="Listenabsatz"/>
        <w:spacing w:line="240" w:lineRule="auto"/>
        <w:ind w:left="0"/>
        <w:rPr>
          <w:rFonts w:cs="Arial"/>
          <w:i/>
          <w:lang w:eastAsia="de-DE"/>
        </w:rPr>
      </w:pPr>
      <w:r>
        <w:rPr>
          <w:rFonts w:cs="Arial"/>
          <w:lang w:eastAsia="de-DE"/>
        </w:rPr>
        <w:br/>
      </w:r>
      <w:r w:rsidRPr="00C1423F">
        <w:rPr>
          <w:rFonts w:cs="Arial"/>
          <w:i/>
          <w:lang w:eastAsia="de-DE"/>
        </w:rPr>
        <w:t>[An dieser Stelle soll durch die Lehrkraft konkretisiert werden, um welche Kenntnisse es g</w:t>
      </w:r>
      <w:r w:rsidRPr="00C1423F">
        <w:rPr>
          <w:rFonts w:cs="Arial"/>
          <w:i/>
          <w:lang w:eastAsia="de-DE"/>
        </w:rPr>
        <w:t>e</w:t>
      </w:r>
      <w:r w:rsidRPr="00C1423F">
        <w:rPr>
          <w:rFonts w:cs="Arial"/>
          <w:i/>
          <w:lang w:eastAsia="de-DE"/>
        </w:rPr>
        <w:t xml:space="preserve">nau geht. Denkbar wäre z. B., dass zuvor </w:t>
      </w:r>
      <w:proofErr w:type="spellStart"/>
      <w:r w:rsidRPr="00C1423F">
        <w:rPr>
          <w:rFonts w:cs="Arial"/>
          <w:i/>
          <w:lang w:eastAsia="de-DE"/>
        </w:rPr>
        <w:t>konsequenzialistische</w:t>
      </w:r>
      <w:proofErr w:type="spellEnd"/>
      <w:r w:rsidRPr="00C1423F">
        <w:rPr>
          <w:rFonts w:cs="Arial"/>
          <w:i/>
          <w:lang w:eastAsia="de-DE"/>
        </w:rPr>
        <w:t xml:space="preserve"> und deontologische Positi</w:t>
      </w:r>
      <w:r w:rsidRPr="00C1423F">
        <w:rPr>
          <w:rFonts w:cs="Arial"/>
          <w:i/>
          <w:lang w:eastAsia="de-DE"/>
        </w:rPr>
        <w:t>o</w:t>
      </w:r>
      <w:r w:rsidRPr="00C1423F">
        <w:rPr>
          <w:rFonts w:cs="Arial"/>
          <w:i/>
          <w:lang w:eastAsia="de-DE"/>
        </w:rPr>
        <w:t>nen der Niveaustufe gemäß behandelt wurden. Die Lernenden beurteilen also z. B. einmal den Konflikt auf Grundlage der Folgen, die sich aus der jeweiligen Entscheidung ergeben und einmal auf Grundlage von ethischen Prinzipien. Anschließend wägen sie ab, ergänzen ggf. durch weitere Argumente und fällen auf dieser Grundlage ein eigenes Urteil.]</w:t>
      </w:r>
    </w:p>
    <w:p w:rsidR="00C1423F" w:rsidRDefault="00C1423F" w:rsidP="00C1423F"/>
    <w:p w:rsidR="0003471D" w:rsidRDefault="0003471D" w:rsidP="00C1423F"/>
    <w:p w:rsidR="0003471D" w:rsidRDefault="0003471D" w:rsidP="00C1423F"/>
    <w:p w:rsidR="0003471D" w:rsidRDefault="0003471D" w:rsidP="00C1423F"/>
    <w:p w:rsidR="0003471D" w:rsidRDefault="0003471D" w:rsidP="00C1423F"/>
    <w:p w:rsidR="0003471D" w:rsidRDefault="0003471D" w:rsidP="00C1423F"/>
    <w:p w:rsidR="0003471D" w:rsidRDefault="0003471D" w:rsidP="00C1423F"/>
    <w:p w:rsidR="0003471D" w:rsidRDefault="0003471D" w:rsidP="00C1423F"/>
    <w:p w:rsidR="0003471D" w:rsidRDefault="0003471D" w:rsidP="00C1423F"/>
    <w:p w:rsidR="0003471D" w:rsidRDefault="0003471D" w:rsidP="00C1423F"/>
    <w:p w:rsidR="0003471D" w:rsidRDefault="0003471D" w:rsidP="00C1423F"/>
    <w:p w:rsidR="0003471D" w:rsidRDefault="0003471D" w:rsidP="00C1423F"/>
    <w:p w:rsidR="0003471D" w:rsidRDefault="0003471D" w:rsidP="00C1423F"/>
    <w:p w:rsidR="0003471D" w:rsidRDefault="0003471D" w:rsidP="00C1423F"/>
    <w:p w:rsidR="0003471D" w:rsidRDefault="0003471D" w:rsidP="00C1423F"/>
    <w:p w:rsidR="0003471D" w:rsidRDefault="0003471D" w:rsidP="00C1423F"/>
    <w:p w:rsidR="0003471D" w:rsidRDefault="0003471D" w:rsidP="00C1423F"/>
    <w:p w:rsidR="0003471D" w:rsidRDefault="0003471D" w:rsidP="00C1423F"/>
    <w:p w:rsidR="0003471D" w:rsidRDefault="0003471D" w:rsidP="00C1423F"/>
    <w:p w:rsidR="0003471D" w:rsidRDefault="0003471D" w:rsidP="00C1423F"/>
    <w:p w:rsidR="0003471D" w:rsidRDefault="0003471D" w:rsidP="00C1423F"/>
    <w:p w:rsidR="0003471D" w:rsidRDefault="0003471D" w:rsidP="00C1423F"/>
    <w:p w:rsidR="0003471D" w:rsidRDefault="0003471D" w:rsidP="00C1423F"/>
    <w:p w:rsidR="0003471D" w:rsidRDefault="0003471D" w:rsidP="00C1423F"/>
    <w:p w:rsidR="0003471D" w:rsidRDefault="0003471D" w:rsidP="00C1423F"/>
    <w:p w:rsidR="0003471D" w:rsidRDefault="0003471D" w:rsidP="00C1423F"/>
    <w:p w:rsidR="0003471D" w:rsidRDefault="0003471D" w:rsidP="00C1423F"/>
    <w:p w:rsidR="0003471D" w:rsidRDefault="0003471D" w:rsidP="00C1423F"/>
    <w:p w:rsidR="009069F0" w:rsidRDefault="0003471D" w:rsidP="0003471D">
      <w:pPr>
        <w:rPr>
          <w:b/>
          <w:sz w:val="24"/>
          <w:szCs w:val="24"/>
        </w:rPr>
      </w:pPr>
      <w:r w:rsidRPr="0003471D">
        <w:rPr>
          <w:noProof/>
          <w:lang w:eastAsia="de-DE"/>
        </w:rPr>
        <w:drawing>
          <wp:inline distT="0" distB="0" distL="0" distR="0">
            <wp:extent cx="1227411" cy="429442"/>
            <wp:effectExtent l="19050" t="0" r="0" b="0"/>
            <wp:docPr id="2" name="Bild 1" descr="CC_by.png"/>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t xml:space="preserve"> LISUM</w:t>
      </w:r>
      <w:r w:rsidR="009069F0">
        <w:rPr>
          <w:b/>
          <w:sz w:val="24"/>
          <w:szCs w:val="24"/>
        </w:rPr>
        <w:br w:type="page"/>
      </w:r>
    </w:p>
    <w:p w:rsidR="009069F0" w:rsidRDefault="009069F0" w:rsidP="000209E8">
      <w:pPr>
        <w:spacing w:line="240" w:lineRule="auto"/>
        <w:rPr>
          <w:b/>
          <w:sz w:val="24"/>
          <w:szCs w:val="24"/>
        </w:rPr>
      </w:pPr>
    </w:p>
    <w:p w:rsidR="00F5187C" w:rsidRPr="00D863E6" w:rsidRDefault="00F5187C" w:rsidP="000209E8">
      <w:pPr>
        <w:spacing w:line="240" w:lineRule="auto"/>
        <w:rPr>
          <w:b/>
          <w:sz w:val="24"/>
          <w:szCs w:val="24"/>
        </w:rPr>
      </w:pPr>
      <w:bookmarkStart w:id="0" w:name="_GoBack"/>
      <w:bookmarkEnd w:id="0"/>
      <w:r w:rsidRPr="00D863E6">
        <w:rPr>
          <w:b/>
          <w:sz w:val="24"/>
          <w:szCs w:val="24"/>
        </w:rPr>
        <w:t>Erwartungshorizont:</w:t>
      </w:r>
    </w:p>
    <w:p w:rsidR="00C16860" w:rsidRDefault="00C16860" w:rsidP="000209E8">
      <w:pPr>
        <w:spacing w:before="60" w:after="60"/>
        <w:rPr>
          <w:b/>
          <w:sz w:val="24"/>
          <w:szCs w:val="24"/>
        </w:rPr>
      </w:pPr>
    </w:p>
    <w:p w:rsidR="006076F2" w:rsidRPr="006076F2" w:rsidRDefault="006076F2" w:rsidP="000209E8">
      <w:pPr>
        <w:spacing w:before="60" w:after="60"/>
        <w:rPr>
          <w:sz w:val="24"/>
          <w:szCs w:val="24"/>
        </w:rPr>
      </w:pPr>
      <w:r>
        <w:rPr>
          <w:b/>
          <w:sz w:val="24"/>
          <w:szCs w:val="24"/>
        </w:rPr>
        <w:t xml:space="preserve">Vorbemerkung: </w:t>
      </w:r>
      <w:r>
        <w:rPr>
          <w:sz w:val="24"/>
          <w:szCs w:val="24"/>
        </w:rPr>
        <w:t>Die Ausführungen sind exemplarisch zu verstehen und können von den Lernenden jeweils anders realisiert werden. Es wird zudem keinerlei Anspruch auf Vollständigkeit der Argumentation erhoben. Insbesondere ist von der Lehrkraft zu berücksichtigen, dass nicht die dem jeweiligen Urteil zugrunde</w:t>
      </w:r>
      <w:r w:rsidR="007C35A9">
        <w:rPr>
          <w:sz w:val="24"/>
          <w:szCs w:val="24"/>
        </w:rPr>
        <w:t xml:space="preserve"> </w:t>
      </w:r>
      <w:r>
        <w:rPr>
          <w:sz w:val="24"/>
          <w:szCs w:val="24"/>
        </w:rPr>
        <w:t xml:space="preserve">liegende Behauptung, sondern die Differenziertheit und Überzeugungskraft der Argumentation zu bewerten ist. </w:t>
      </w:r>
    </w:p>
    <w:p w:rsidR="00C711B3" w:rsidRDefault="00C711B3" w:rsidP="000209E8">
      <w:pPr>
        <w:spacing w:line="240" w:lineRule="auto"/>
      </w:pPr>
    </w:p>
    <w:p w:rsidR="00F95593" w:rsidRDefault="00F95593" w:rsidP="000209E8">
      <w:pPr>
        <w:spacing w:line="240" w:lineRule="auto"/>
        <w:rPr>
          <w:b/>
          <w:sz w:val="24"/>
          <w:szCs w:val="24"/>
        </w:rPr>
      </w:pPr>
      <w:r>
        <w:rPr>
          <w:b/>
          <w:sz w:val="24"/>
          <w:szCs w:val="24"/>
        </w:rPr>
        <w:t xml:space="preserve">Aufgabe </w:t>
      </w:r>
      <w:r w:rsidRPr="00D863E6">
        <w:rPr>
          <w:b/>
          <w:sz w:val="24"/>
          <w:szCs w:val="24"/>
        </w:rPr>
        <w:t>(Niveau</w:t>
      </w:r>
      <w:r>
        <w:rPr>
          <w:b/>
          <w:sz w:val="24"/>
          <w:szCs w:val="24"/>
        </w:rPr>
        <w:t xml:space="preserve"> F</w:t>
      </w:r>
      <w:r w:rsidRPr="00D863E6">
        <w:rPr>
          <w:b/>
          <w:sz w:val="24"/>
          <w:szCs w:val="24"/>
        </w:rPr>
        <w:t>):</w:t>
      </w:r>
    </w:p>
    <w:p w:rsidR="00F95593" w:rsidRDefault="00F95593" w:rsidP="000209E8">
      <w:pPr>
        <w:spacing w:line="240" w:lineRule="auto"/>
        <w:rPr>
          <w:b/>
          <w:sz w:val="24"/>
          <w:szCs w:val="24"/>
        </w:rPr>
      </w:pPr>
    </w:p>
    <w:p w:rsidR="00F95593" w:rsidRDefault="00F95593" w:rsidP="000209E8">
      <w:pPr>
        <w:spacing w:line="240" w:lineRule="auto"/>
      </w:pPr>
      <w:r>
        <w:t>Individuelle Lösungen der Schülerinnen und Schüler. Das nachfolgende Beispiel dient ledi</w:t>
      </w:r>
      <w:r>
        <w:t>g</w:t>
      </w:r>
      <w:r>
        <w:t>lich dazu, die Struktur der Bearbeitung der Aufgabe zu verdeutlichen.</w:t>
      </w:r>
      <w:r w:rsidR="002A01A7">
        <w:t xml:space="preserve"> Wichtig ist auch hier wieder zu beachten, dass sich die Beurteilung der Urteile der Lernenden auf die Argument</w:t>
      </w:r>
      <w:r w:rsidR="002A01A7">
        <w:t>a</w:t>
      </w:r>
      <w:r w:rsidR="002A01A7">
        <w:t>tion und nicht auf die inhaltlichen Positionen konzentriert. Selbst wenn die Lehrkraft in dem unten</w:t>
      </w:r>
      <w:r w:rsidR="007C35A9">
        <w:t xml:space="preserve"> </w:t>
      </w:r>
      <w:r w:rsidR="002A01A7">
        <w:t>stehenden Beispiel eine Lüge der Schülerin oder des Schülers verurteilen würde, muss sie ihr oder ihm bei einer gelungenen Argumentation doch eine entsprechend gute oder sehr gute Beurteilung geben.</w:t>
      </w:r>
    </w:p>
    <w:p w:rsidR="00F95593" w:rsidRDefault="00F95593" w:rsidP="007C35A9">
      <w:pPr>
        <w:spacing w:line="240" w:lineRule="auto"/>
      </w:pPr>
    </w:p>
    <w:p w:rsidR="00CE150C" w:rsidRDefault="00F95593" w:rsidP="00CE150C">
      <w:pPr>
        <w:pStyle w:val="Listenabsatz"/>
        <w:numPr>
          <w:ilvl w:val="0"/>
          <w:numId w:val="34"/>
        </w:numPr>
        <w:spacing w:line="240" w:lineRule="auto"/>
      </w:pPr>
      <w:r>
        <w:t xml:space="preserve">Einmal sollte ich auf meinen kleinen Bruder, der damals acht Jahre alt war, aufpassen. Meine Mutter musste arbeiten und wir waren ca. vier Stunden allein zu Hause. Ich hatte ihr versprochen, nicht wegzugehen. Kaum waren wir allein, rief meine beste Freundin an und fragte, ob wir nicht ein wenig mit unseren </w:t>
      </w:r>
      <w:proofErr w:type="spellStart"/>
      <w:r>
        <w:t>Ripstiks</w:t>
      </w:r>
      <w:proofErr w:type="spellEnd"/>
      <w:r>
        <w:t xml:space="preserve"> durch die Straßen fahren wollen, nur eine halbe Stunde. Mein Bruder versprach mir, in der halben Stunde seine Hausau</w:t>
      </w:r>
      <w:r>
        <w:t>f</w:t>
      </w:r>
      <w:r>
        <w:t>gaben zu machen. Als ich nach ca. 30 Minuten wieder zu Hause war, saß er wirklich vor seinen Hausaufgaben. Als meine Mutter abends kam, fragte sie mich als erstes, ob ich die ganze Zeit auf ihn aufgepasst hätte. Ich wusste in dem Moment nicht, was ich sagen sollte.</w:t>
      </w:r>
    </w:p>
    <w:p w:rsidR="00F95593" w:rsidRDefault="002A01A7" w:rsidP="007C35A9">
      <w:pPr>
        <w:pStyle w:val="Listenabsatz"/>
        <w:numPr>
          <w:ilvl w:val="0"/>
          <w:numId w:val="34"/>
        </w:numPr>
        <w:spacing w:line="240" w:lineRule="auto"/>
      </w:pPr>
      <w:r>
        <w:t xml:space="preserve">A: </w:t>
      </w:r>
      <w:r w:rsidR="00F95593">
        <w:t>Die Wahrheit sagen: Ich war eine halbe Stunde mit meiner Freundin draußen</w:t>
      </w:r>
      <w:r>
        <w:t>, aber der Bruder hat in der Zeit seine Hausaufgaben gemacht</w:t>
      </w:r>
      <w:r w:rsidR="00F95593">
        <w:t>.</w:t>
      </w:r>
      <w:r w:rsidR="00F95593">
        <w:tab/>
      </w:r>
      <w:r w:rsidR="00F95593">
        <w:br/>
      </w:r>
      <w:r>
        <w:t xml:space="preserve">B: </w:t>
      </w:r>
      <w:r w:rsidR="00F95593">
        <w:t>Lügen: Ja, ich habe die gesamte Zeit auf ihn aufgepasst.</w:t>
      </w:r>
    </w:p>
    <w:p w:rsidR="00557EB1" w:rsidRDefault="002A01A7" w:rsidP="007C35A9">
      <w:pPr>
        <w:pStyle w:val="Listenabsatz"/>
        <w:numPr>
          <w:ilvl w:val="0"/>
          <w:numId w:val="34"/>
        </w:numPr>
        <w:spacing w:line="240" w:lineRule="auto"/>
      </w:pPr>
      <w:r>
        <w:t xml:space="preserve">A: </w:t>
      </w:r>
      <w:r w:rsidR="007E5A3F">
        <w:t xml:space="preserve">Ich möchte meine Entscheidung auf Grundlage einer </w:t>
      </w:r>
      <w:r w:rsidR="008D44CB">
        <w:t>Prinzipienethik</w:t>
      </w:r>
      <w:r w:rsidR="007E5A3F">
        <w:t xml:space="preserve"> rechtfertigen. </w:t>
      </w:r>
      <w:r>
        <w:t>Hier wird die Norm „Du sollst nicht lügen!“ berücksichtigt. Es ist wichtig, dass es diese Norm gibt, da es sonst kein Vertrauen mehr zwischen den Menschen geben könnte. Ich muss mich darauf verlassen können, dass der andere mir die Wahrheit sagt. Natürlich kann es für mich schlechte Folgen haben, wenn ich meiner Mutter eingestehe, dass ich gegen ihr Gebot, die gesamte Zeit den Bruder zu betreuen, verstoßen habe. So könnte ich eine Strafe wie Hausarrest oder Taschengeldentzug bekommen. Aber dafür muss ich einst</w:t>
      </w:r>
      <w:r>
        <w:t>e</w:t>
      </w:r>
      <w:r>
        <w:t>hen. Das ist die so wichtige Norm des Nichtlügens wert.</w:t>
      </w:r>
    </w:p>
    <w:p w:rsidR="002A01A7" w:rsidRDefault="002A01A7" w:rsidP="007C35A9">
      <w:pPr>
        <w:pStyle w:val="Listenabsatz"/>
        <w:numPr>
          <w:ilvl w:val="0"/>
          <w:numId w:val="34"/>
        </w:numPr>
        <w:spacing w:line="240" w:lineRule="auto"/>
      </w:pPr>
      <w:r>
        <w:t xml:space="preserve">B: </w:t>
      </w:r>
      <w:r w:rsidR="007E5A3F">
        <w:t xml:space="preserve">Ich möchte meine Entscheidung auf Grundlage </w:t>
      </w:r>
      <w:r w:rsidR="008D44CB">
        <w:t>einer Folgenethik</w:t>
      </w:r>
      <w:r w:rsidR="007E5A3F">
        <w:t xml:space="preserve"> rechtfertigen. Ethisch gut sind nach Ansicht der Utilitaristen die Handlungen, die die besten Folgen für alle Betroffenen haben. Betroffen sind in meinem Beispiel meine Mutter und ich. </w:t>
      </w:r>
      <w:r>
        <w:t>Es ist nichts Schlimmes passiert, d. h. mein kleiner Ausflug mit der Freundin hatte keinerlei n</w:t>
      </w:r>
      <w:r>
        <w:t>e</w:t>
      </w:r>
      <w:r>
        <w:t>gative Folgen. Daher erspare ich meiner Mutter die Aufregung und Enttäuschung, dass ich ihr Gebot nicht befolgt habe. Und mir erspare ich eine drohende Bestrafung. Natürlich könnte ich durch die Lüge meiner Mutter gegenüber ein schlechtes Gewissen kriegen, aber dieses ist für mich eine weniger schlimme Konsequenz als der sonst drohende Hausarrest und die Enttäuschung meiner Mutter über mich.</w:t>
      </w:r>
      <w:r w:rsidR="007E5A3F">
        <w:t xml:space="preserve"> Abgesehen von einem schlechten Gewissen hat die Handlung, meine Mutter anzulügen, keine negativen Ko</w:t>
      </w:r>
      <w:r w:rsidR="007E5A3F">
        <w:t>n</w:t>
      </w:r>
      <w:r w:rsidR="007E5A3F">
        <w:t>sequenzen. Allerdings gilt dies nur unter der Voraussetzung, dass mein Bruder meiner Mutter nicht irgendwann die Wahrheit erzählt. In dem Fall wäre vielleicht die Enttä</w:t>
      </w:r>
      <w:r w:rsidR="007E5A3F">
        <w:t>u</w:t>
      </w:r>
      <w:r w:rsidR="007E5A3F">
        <w:t>schung meiner Mutter über mich so groß, dass sie alle anderen Überlegungen überwi</w:t>
      </w:r>
      <w:r w:rsidR="007E5A3F">
        <w:t>e</w:t>
      </w:r>
      <w:r w:rsidR="007E5A3F">
        <w:t xml:space="preserve">gen würde. Zumal es in dem Fall auch zu einer doppelten Enttäuschung käme: Zunächst </w:t>
      </w:r>
      <w:r w:rsidR="007E5A3F">
        <w:lastRenderedPageBreak/>
        <w:t>einmal habe ich das Gebot meiner Mutter nicht befolgt. Und dann habe ich meine Mutter zusätzlich noch angelogen.</w:t>
      </w:r>
      <w:r w:rsidR="0073112B">
        <w:t xml:space="preserve"> Meine Lüge lässt sich daher nur unter der Voraussetzung rechtfertigen, dass meine Mutter nie die Wahrheit erfährt.</w:t>
      </w: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03471D" w:rsidRDefault="0003471D" w:rsidP="00235DCF">
      <w:pPr>
        <w:spacing w:line="240" w:lineRule="auto"/>
      </w:pPr>
    </w:p>
    <w:p w:rsidR="0003471D" w:rsidRDefault="0003471D" w:rsidP="00235DCF">
      <w:pPr>
        <w:spacing w:line="240" w:lineRule="auto"/>
      </w:pPr>
    </w:p>
    <w:p w:rsidR="0003471D" w:rsidRDefault="0003471D"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Default="00235DCF" w:rsidP="00235DCF">
      <w:pPr>
        <w:spacing w:line="240" w:lineRule="auto"/>
      </w:pPr>
    </w:p>
    <w:p w:rsidR="00235DCF" w:rsidRPr="00235DCF" w:rsidRDefault="00235DCF">
      <w:pPr>
        <w:spacing w:line="240" w:lineRule="auto"/>
        <w:rPr>
          <w:rFonts w:cs="Arial"/>
          <w:b/>
          <w:sz w:val="28"/>
          <w:szCs w:val="28"/>
          <w:lang w:val="en-US"/>
        </w:rPr>
      </w:pPr>
      <w:r w:rsidRPr="00235DCF">
        <w:rPr>
          <w:noProof/>
          <w:lang w:eastAsia="de-DE"/>
        </w:rPr>
        <w:drawing>
          <wp:inline distT="0" distB="0" distL="0" distR="0">
            <wp:extent cx="1227411" cy="429442"/>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Pr="00235DCF">
        <w:rPr>
          <w:lang w:val="en-US"/>
        </w:rPr>
        <w:t xml:space="preserve"> </w:t>
      </w:r>
      <w:r w:rsidRPr="00581735">
        <w:rPr>
          <w:rFonts w:eastAsia="Helvetica Neue Light" w:cs="Arial"/>
          <w:lang w:val="en-US"/>
        </w:rPr>
        <w:t>LISUM</w:t>
      </w:r>
    </w:p>
    <w:sectPr w:rsidR="00235DCF" w:rsidRPr="00235DCF" w:rsidSect="002C1C59">
      <w:footerReference w:type="default" r:id="rId11"/>
      <w:type w:val="continuous"/>
      <w:pgSz w:w="11906" w:h="16838"/>
      <w:pgMar w:top="1418" w:right="1418" w:bottom="82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754" w:rsidRDefault="00A21754" w:rsidP="00837EC7">
      <w:pPr>
        <w:spacing w:line="240" w:lineRule="auto"/>
      </w:pPr>
      <w:r>
        <w:separator/>
      </w:r>
    </w:p>
  </w:endnote>
  <w:endnote w:type="continuationSeparator" w:id="0">
    <w:p w:rsidR="00A21754" w:rsidRDefault="00A21754"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Neue Ligh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D70BC6" w:rsidRDefault="00D70BC6" w:rsidP="00937B60">
        <w:pPr>
          <w:pStyle w:val="Fuzeile"/>
          <w:tabs>
            <w:tab w:val="clear" w:pos="4536"/>
          </w:tabs>
          <w:jc w:val="center"/>
        </w:pPr>
        <w:r>
          <w:tab/>
        </w:r>
        <w:r w:rsidR="00847F56">
          <w:fldChar w:fldCharType="begin"/>
        </w:r>
        <w:r>
          <w:instrText xml:space="preserve"> PAGE   \* MERGEFORMAT </w:instrText>
        </w:r>
        <w:r w:rsidR="00847F56">
          <w:fldChar w:fldCharType="separate"/>
        </w:r>
        <w:r w:rsidR="002E2CF3">
          <w:rPr>
            <w:noProof/>
          </w:rPr>
          <w:t>1</w:t>
        </w:r>
        <w:r w:rsidR="00847F56">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84134"/>
      <w:docPartObj>
        <w:docPartGallery w:val="Page Numbers (Bottom of Page)"/>
        <w:docPartUnique/>
      </w:docPartObj>
    </w:sdtPr>
    <w:sdtContent>
      <w:p w:rsidR="00D70BC6" w:rsidRDefault="00D70BC6" w:rsidP="00937B60">
        <w:pPr>
          <w:pStyle w:val="Fuzeile"/>
          <w:tabs>
            <w:tab w:val="clear" w:pos="4536"/>
          </w:tabs>
          <w:jc w:val="center"/>
        </w:pPr>
        <w:r>
          <w:tab/>
        </w:r>
        <w:r w:rsidR="00847F56">
          <w:fldChar w:fldCharType="begin"/>
        </w:r>
        <w:r>
          <w:instrText xml:space="preserve"> PAGE   \* MERGEFORMAT </w:instrText>
        </w:r>
        <w:r w:rsidR="00847F56">
          <w:fldChar w:fldCharType="separate"/>
        </w:r>
        <w:r w:rsidR="002E2CF3">
          <w:rPr>
            <w:noProof/>
          </w:rPr>
          <w:t>2</w:t>
        </w:r>
        <w:r w:rsidR="00847F56">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754" w:rsidRDefault="00A21754" w:rsidP="00837EC7">
      <w:pPr>
        <w:spacing w:line="240" w:lineRule="auto"/>
      </w:pPr>
      <w:r>
        <w:separator/>
      </w:r>
    </w:p>
  </w:footnote>
  <w:footnote w:type="continuationSeparator" w:id="0">
    <w:p w:rsidR="00A21754" w:rsidRDefault="00A21754"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BC6" w:rsidRDefault="00D70BC6" w:rsidP="00B94BD8">
    <w:pPr>
      <w:pStyle w:val="Kopfzeile"/>
      <w:spacing w:line="240" w:lineRule="aut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718655F"/>
    <w:multiLevelType w:val="hybridMultilevel"/>
    <w:tmpl w:val="23E08F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E2187B"/>
    <w:multiLevelType w:val="hybridMultilevel"/>
    <w:tmpl w:val="23E08F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B142235"/>
    <w:multiLevelType w:val="hybridMultilevel"/>
    <w:tmpl w:val="F4A60E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B9A325A"/>
    <w:multiLevelType w:val="hybridMultilevel"/>
    <w:tmpl w:val="7AFA3F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4442437"/>
    <w:multiLevelType w:val="hybridMultilevel"/>
    <w:tmpl w:val="D2942B7C"/>
    <w:lvl w:ilvl="0" w:tplc="8C68D31A">
      <w:start w:val="1"/>
      <w:numFmt w:val="bullet"/>
      <w:pStyle w:val="Aufzhlung"/>
      <w:lvlText w:val="­"/>
      <w:lvlJc w:val="left"/>
      <w:pPr>
        <w:ind w:left="643"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6253B33"/>
    <w:multiLevelType w:val="hybridMultilevel"/>
    <w:tmpl w:val="5872813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D3B0AF4"/>
    <w:multiLevelType w:val="hybridMultilevel"/>
    <w:tmpl w:val="9DCC3E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4627DF7"/>
    <w:multiLevelType w:val="hybridMultilevel"/>
    <w:tmpl w:val="F4A60E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89C120F"/>
    <w:multiLevelType w:val="hybridMultilevel"/>
    <w:tmpl w:val="2EC0F98E"/>
    <w:lvl w:ilvl="0" w:tplc="032621D4">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EFE0994"/>
    <w:multiLevelType w:val="hybridMultilevel"/>
    <w:tmpl w:val="23E08F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1ED1D74"/>
    <w:multiLevelType w:val="hybridMultilevel"/>
    <w:tmpl w:val="23E08F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37134D3"/>
    <w:multiLevelType w:val="hybridMultilevel"/>
    <w:tmpl w:val="82D24A8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37B56359"/>
    <w:multiLevelType w:val="hybridMultilevel"/>
    <w:tmpl w:val="F5EC29E6"/>
    <w:lvl w:ilvl="0" w:tplc="544A2E5C">
      <w:start w:val="3"/>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A150703"/>
    <w:multiLevelType w:val="hybridMultilevel"/>
    <w:tmpl w:val="75388B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EDF2FA1"/>
    <w:multiLevelType w:val="hybridMultilevel"/>
    <w:tmpl w:val="D514098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F572C3A"/>
    <w:multiLevelType w:val="hybridMultilevel"/>
    <w:tmpl w:val="BE5E90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6C66E34"/>
    <w:multiLevelType w:val="hybridMultilevel"/>
    <w:tmpl w:val="15C6B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7640176"/>
    <w:multiLevelType w:val="hybridMultilevel"/>
    <w:tmpl w:val="5A201AA6"/>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3">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4">
    <w:nsid w:val="52EB44C4"/>
    <w:multiLevelType w:val="hybridMultilevel"/>
    <w:tmpl w:val="A2C60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D3A4BF6"/>
    <w:multiLevelType w:val="hybridMultilevel"/>
    <w:tmpl w:val="D054B18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6E93F9A"/>
    <w:multiLevelType w:val="hybridMultilevel"/>
    <w:tmpl w:val="6D34D3B2"/>
    <w:lvl w:ilvl="0" w:tplc="FEB2BE6A">
      <w:start w:val="1"/>
      <w:numFmt w:val="decimal"/>
      <w:lvlText w:val="%1)"/>
      <w:lvlJc w:val="left"/>
      <w:pPr>
        <w:ind w:left="720" w:hanging="360"/>
      </w:pPr>
      <w:rPr>
        <w:rFonts w:ascii="Arial" w:eastAsia="Calibri"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8083C42"/>
    <w:multiLevelType w:val="hybridMultilevel"/>
    <w:tmpl w:val="DA86C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26A255B"/>
    <w:multiLevelType w:val="hybridMultilevel"/>
    <w:tmpl w:val="60CA89F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790D4C33"/>
    <w:multiLevelType w:val="hybridMultilevel"/>
    <w:tmpl w:val="23E08F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4">
    <w:nsid w:val="7CBD2095"/>
    <w:multiLevelType w:val="hybridMultilevel"/>
    <w:tmpl w:val="8FA2E1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D627D8C"/>
    <w:multiLevelType w:val="hybridMultilevel"/>
    <w:tmpl w:val="0E96E94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F0C3E61"/>
    <w:multiLevelType w:val="hybridMultilevel"/>
    <w:tmpl w:val="F4A60E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7"/>
  </w:num>
  <w:num w:numId="3">
    <w:abstractNumId w:val="26"/>
  </w:num>
  <w:num w:numId="4">
    <w:abstractNumId w:val="18"/>
  </w:num>
  <w:num w:numId="5">
    <w:abstractNumId w:val="31"/>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5"/>
  </w:num>
  <w:num w:numId="11">
    <w:abstractNumId w:val="13"/>
  </w:num>
  <w:num w:numId="12">
    <w:abstractNumId w:val="1"/>
  </w:num>
  <w:num w:numId="13">
    <w:abstractNumId w:val="14"/>
  </w:num>
  <w:num w:numId="14">
    <w:abstractNumId w:val="4"/>
  </w:num>
  <w:num w:numId="15">
    <w:abstractNumId w:val="0"/>
  </w:num>
  <w:num w:numId="16">
    <w:abstractNumId w:val="15"/>
  </w:num>
  <w:num w:numId="17">
    <w:abstractNumId w:val="20"/>
  </w:num>
  <w:num w:numId="18">
    <w:abstractNumId w:val="3"/>
  </w:num>
  <w:num w:numId="19">
    <w:abstractNumId w:val="22"/>
  </w:num>
  <w:num w:numId="20">
    <w:abstractNumId w:val="24"/>
  </w:num>
  <w:num w:numId="21">
    <w:abstractNumId w:val="21"/>
  </w:num>
  <w:num w:numId="22">
    <w:abstractNumId w:val="29"/>
  </w:num>
  <w:num w:numId="23">
    <w:abstractNumId w:val="8"/>
  </w:num>
  <w:num w:numId="24">
    <w:abstractNumId w:val="32"/>
  </w:num>
  <w:num w:numId="25">
    <w:abstractNumId w:val="30"/>
  </w:num>
  <w:num w:numId="26">
    <w:abstractNumId w:val="35"/>
  </w:num>
  <w:num w:numId="27">
    <w:abstractNumId w:val="36"/>
  </w:num>
  <w:num w:numId="28">
    <w:abstractNumId w:val="10"/>
  </w:num>
  <w:num w:numId="29">
    <w:abstractNumId w:val="11"/>
  </w:num>
  <w:num w:numId="30">
    <w:abstractNumId w:val="28"/>
  </w:num>
  <w:num w:numId="31">
    <w:abstractNumId w:val="34"/>
  </w:num>
  <w:num w:numId="32">
    <w:abstractNumId w:val="2"/>
  </w:num>
  <w:num w:numId="33">
    <w:abstractNumId w:val="9"/>
  </w:num>
  <w:num w:numId="34">
    <w:abstractNumId w:val="17"/>
  </w:num>
  <w:num w:numId="35">
    <w:abstractNumId w:val="19"/>
  </w:num>
  <w:num w:numId="36">
    <w:abstractNumId w:val="27"/>
  </w:num>
  <w:num w:numId="37">
    <w:abstractNumId w:val="12"/>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cumentProtection w:edit="forms" w:enforcement="0"/>
  <w:defaultTabStop w:val="708"/>
  <w:autoHyphenation/>
  <w:hyphenationZone w:val="425"/>
  <w:characterSpacingControl w:val="doNotCompress"/>
  <w:hdrShapeDefaults>
    <o:shapedefaults v:ext="edit" spidmax="28674"/>
  </w:hdrShapeDefaults>
  <w:footnotePr>
    <w:footnote w:id="-1"/>
    <w:footnote w:id="0"/>
  </w:footnotePr>
  <w:endnotePr>
    <w:endnote w:id="-1"/>
    <w:endnote w:id="0"/>
  </w:endnotePr>
  <w:compat/>
  <w:rsids>
    <w:rsidRoot w:val="007E14E3"/>
    <w:rsid w:val="00000B69"/>
    <w:rsid w:val="00001B57"/>
    <w:rsid w:val="0000630A"/>
    <w:rsid w:val="00010A73"/>
    <w:rsid w:val="000209E8"/>
    <w:rsid w:val="0002135C"/>
    <w:rsid w:val="0002556C"/>
    <w:rsid w:val="00026139"/>
    <w:rsid w:val="0003471D"/>
    <w:rsid w:val="0004165F"/>
    <w:rsid w:val="00064306"/>
    <w:rsid w:val="00064CBE"/>
    <w:rsid w:val="00066070"/>
    <w:rsid w:val="000A2A61"/>
    <w:rsid w:val="000A4B8B"/>
    <w:rsid w:val="000E17EC"/>
    <w:rsid w:val="000E1F71"/>
    <w:rsid w:val="000F11B4"/>
    <w:rsid w:val="000F152A"/>
    <w:rsid w:val="00116702"/>
    <w:rsid w:val="001206DA"/>
    <w:rsid w:val="00130827"/>
    <w:rsid w:val="00133562"/>
    <w:rsid w:val="0013419B"/>
    <w:rsid w:val="00136172"/>
    <w:rsid w:val="00142DFA"/>
    <w:rsid w:val="00144A67"/>
    <w:rsid w:val="001522DD"/>
    <w:rsid w:val="00155F4E"/>
    <w:rsid w:val="00156750"/>
    <w:rsid w:val="001574BE"/>
    <w:rsid w:val="0016097F"/>
    <w:rsid w:val="001634E6"/>
    <w:rsid w:val="00163D87"/>
    <w:rsid w:val="0017211E"/>
    <w:rsid w:val="001848BD"/>
    <w:rsid w:val="00184912"/>
    <w:rsid w:val="00185133"/>
    <w:rsid w:val="00185B02"/>
    <w:rsid w:val="00187699"/>
    <w:rsid w:val="0019348D"/>
    <w:rsid w:val="001A71B9"/>
    <w:rsid w:val="001B043E"/>
    <w:rsid w:val="001B1F09"/>
    <w:rsid w:val="001C3197"/>
    <w:rsid w:val="001C5273"/>
    <w:rsid w:val="001D5651"/>
    <w:rsid w:val="001E2998"/>
    <w:rsid w:val="001E7C30"/>
    <w:rsid w:val="001F16D0"/>
    <w:rsid w:val="001F319E"/>
    <w:rsid w:val="0020115E"/>
    <w:rsid w:val="00202F49"/>
    <w:rsid w:val="002052E8"/>
    <w:rsid w:val="00206E1F"/>
    <w:rsid w:val="002206D2"/>
    <w:rsid w:val="00221185"/>
    <w:rsid w:val="002348B8"/>
    <w:rsid w:val="00235DCF"/>
    <w:rsid w:val="00236DB9"/>
    <w:rsid w:val="00246257"/>
    <w:rsid w:val="00256D2E"/>
    <w:rsid w:val="00263DD7"/>
    <w:rsid w:val="0027654F"/>
    <w:rsid w:val="002879A6"/>
    <w:rsid w:val="00290001"/>
    <w:rsid w:val="002961E0"/>
    <w:rsid w:val="002A01A7"/>
    <w:rsid w:val="002A04B8"/>
    <w:rsid w:val="002A2294"/>
    <w:rsid w:val="002A4C64"/>
    <w:rsid w:val="002B14FC"/>
    <w:rsid w:val="002C1C59"/>
    <w:rsid w:val="002C7B4E"/>
    <w:rsid w:val="002D3F70"/>
    <w:rsid w:val="002D55C9"/>
    <w:rsid w:val="002E1682"/>
    <w:rsid w:val="002E2CF3"/>
    <w:rsid w:val="002E432B"/>
    <w:rsid w:val="002F3C8C"/>
    <w:rsid w:val="00300E1A"/>
    <w:rsid w:val="00301F1E"/>
    <w:rsid w:val="003132D1"/>
    <w:rsid w:val="00314E79"/>
    <w:rsid w:val="00321743"/>
    <w:rsid w:val="00334567"/>
    <w:rsid w:val="003427A7"/>
    <w:rsid w:val="00345B38"/>
    <w:rsid w:val="00363539"/>
    <w:rsid w:val="00375677"/>
    <w:rsid w:val="00376672"/>
    <w:rsid w:val="00381AB2"/>
    <w:rsid w:val="00390900"/>
    <w:rsid w:val="00394A53"/>
    <w:rsid w:val="003C2301"/>
    <w:rsid w:val="003C73C1"/>
    <w:rsid w:val="003C7D44"/>
    <w:rsid w:val="003D22EB"/>
    <w:rsid w:val="003D4868"/>
    <w:rsid w:val="003D72B1"/>
    <w:rsid w:val="003E3C3B"/>
    <w:rsid w:val="003F4234"/>
    <w:rsid w:val="003F54BA"/>
    <w:rsid w:val="0040115E"/>
    <w:rsid w:val="004072A0"/>
    <w:rsid w:val="00411347"/>
    <w:rsid w:val="00411710"/>
    <w:rsid w:val="004221DC"/>
    <w:rsid w:val="00440F9A"/>
    <w:rsid w:val="00445083"/>
    <w:rsid w:val="00445672"/>
    <w:rsid w:val="0044740A"/>
    <w:rsid w:val="00447565"/>
    <w:rsid w:val="00447A44"/>
    <w:rsid w:val="0045504A"/>
    <w:rsid w:val="00467ABE"/>
    <w:rsid w:val="004827FB"/>
    <w:rsid w:val="004851BE"/>
    <w:rsid w:val="0049671A"/>
    <w:rsid w:val="00496D76"/>
    <w:rsid w:val="004A01D2"/>
    <w:rsid w:val="004A71A0"/>
    <w:rsid w:val="004B3CE8"/>
    <w:rsid w:val="004C485B"/>
    <w:rsid w:val="004C5D31"/>
    <w:rsid w:val="004C6164"/>
    <w:rsid w:val="004D4588"/>
    <w:rsid w:val="004F2531"/>
    <w:rsid w:val="004F3656"/>
    <w:rsid w:val="005038C0"/>
    <w:rsid w:val="005052CB"/>
    <w:rsid w:val="00507C32"/>
    <w:rsid w:val="00511901"/>
    <w:rsid w:val="00515ABC"/>
    <w:rsid w:val="005263C7"/>
    <w:rsid w:val="0053176D"/>
    <w:rsid w:val="00537A2A"/>
    <w:rsid w:val="00557EB1"/>
    <w:rsid w:val="00565F2D"/>
    <w:rsid w:val="00572FEE"/>
    <w:rsid w:val="0057368F"/>
    <w:rsid w:val="005745A1"/>
    <w:rsid w:val="0059421C"/>
    <w:rsid w:val="005960DF"/>
    <w:rsid w:val="00597580"/>
    <w:rsid w:val="005A0CC7"/>
    <w:rsid w:val="005B383A"/>
    <w:rsid w:val="005C16CC"/>
    <w:rsid w:val="005D4F94"/>
    <w:rsid w:val="005D78AB"/>
    <w:rsid w:val="005F119A"/>
    <w:rsid w:val="005F1323"/>
    <w:rsid w:val="005F1ACA"/>
    <w:rsid w:val="006026BF"/>
    <w:rsid w:val="006076F2"/>
    <w:rsid w:val="00611C68"/>
    <w:rsid w:val="006136AB"/>
    <w:rsid w:val="00616CA3"/>
    <w:rsid w:val="00621746"/>
    <w:rsid w:val="0062706E"/>
    <w:rsid w:val="0064788B"/>
    <w:rsid w:val="006603DB"/>
    <w:rsid w:val="00660ABD"/>
    <w:rsid w:val="00663BC9"/>
    <w:rsid w:val="00677337"/>
    <w:rsid w:val="00686C04"/>
    <w:rsid w:val="00693842"/>
    <w:rsid w:val="006A22F8"/>
    <w:rsid w:val="006A37A0"/>
    <w:rsid w:val="006A599E"/>
    <w:rsid w:val="006A6B0E"/>
    <w:rsid w:val="006B2750"/>
    <w:rsid w:val="006B3075"/>
    <w:rsid w:val="006B3C67"/>
    <w:rsid w:val="006B3F7B"/>
    <w:rsid w:val="006C3750"/>
    <w:rsid w:val="006C3BC7"/>
    <w:rsid w:val="006C713F"/>
    <w:rsid w:val="006D084A"/>
    <w:rsid w:val="006D5EEA"/>
    <w:rsid w:val="006D719E"/>
    <w:rsid w:val="006E199B"/>
    <w:rsid w:val="007024FB"/>
    <w:rsid w:val="007050D7"/>
    <w:rsid w:val="007077A9"/>
    <w:rsid w:val="00721379"/>
    <w:rsid w:val="00721600"/>
    <w:rsid w:val="00730A4F"/>
    <w:rsid w:val="0073112B"/>
    <w:rsid w:val="00733760"/>
    <w:rsid w:val="00733CEF"/>
    <w:rsid w:val="007357B6"/>
    <w:rsid w:val="00740CFB"/>
    <w:rsid w:val="00741C0B"/>
    <w:rsid w:val="0075789A"/>
    <w:rsid w:val="007621DD"/>
    <w:rsid w:val="00762AD3"/>
    <w:rsid w:val="00772568"/>
    <w:rsid w:val="00785C29"/>
    <w:rsid w:val="007C1D1C"/>
    <w:rsid w:val="007C32D6"/>
    <w:rsid w:val="007C35A9"/>
    <w:rsid w:val="007C3E2C"/>
    <w:rsid w:val="007C5486"/>
    <w:rsid w:val="007C60D5"/>
    <w:rsid w:val="007D2CAB"/>
    <w:rsid w:val="007D6BA1"/>
    <w:rsid w:val="007E14E3"/>
    <w:rsid w:val="007E5A3F"/>
    <w:rsid w:val="007F7CF5"/>
    <w:rsid w:val="00800BD6"/>
    <w:rsid w:val="008109AD"/>
    <w:rsid w:val="008119C5"/>
    <w:rsid w:val="0081228D"/>
    <w:rsid w:val="00820851"/>
    <w:rsid w:val="00825908"/>
    <w:rsid w:val="00826C8F"/>
    <w:rsid w:val="00832B32"/>
    <w:rsid w:val="00837EC7"/>
    <w:rsid w:val="00845B1C"/>
    <w:rsid w:val="00845F03"/>
    <w:rsid w:val="00847D91"/>
    <w:rsid w:val="00847F56"/>
    <w:rsid w:val="008664AB"/>
    <w:rsid w:val="008724F2"/>
    <w:rsid w:val="00883B98"/>
    <w:rsid w:val="00893CAC"/>
    <w:rsid w:val="008A1768"/>
    <w:rsid w:val="008B1D49"/>
    <w:rsid w:val="008B5E7C"/>
    <w:rsid w:val="008B6E6E"/>
    <w:rsid w:val="008D44CB"/>
    <w:rsid w:val="008D76B3"/>
    <w:rsid w:val="008E0C06"/>
    <w:rsid w:val="008E2ED1"/>
    <w:rsid w:val="008E351D"/>
    <w:rsid w:val="008E7D45"/>
    <w:rsid w:val="008F78E6"/>
    <w:rsid w:val="009069F0"/>
    <w:rsid w:val="009130D2"/>
    <w:rsid w:val="00931989"/>
    <w:rsid w:val="00931C2B"/>
    <w:rsid w:val="00937B60"/>
    <w:rsid w:val="00945A34"/>
    <w:rsid w:val="00951B45"/>
    <w:rsid w:val="00953CAC"/>
    <w:rsid w:val="0095526F"/>
    <w:rsid w:val="0095558E"/>
    <w:rsid w:val="00955F5F"/>
    <w:rsid w:val="00965542"/>
    <w:rsid w:val="00971722"/>
    <w:rsid w:val="009A1174"/>
    <w:rsid w:val="009A1D85"/>
    <w:rsid w:val="009B2533"/>
    <w:rsid w:val="009C3682"/>
    <w:rsid w:val="009F23E2"/>
    <w:rsid w:val="009F42E4"/>
    <w:rsid w:val="009F763C"/>
    <w:rsid w:val="00A16097"/>
    <w:rsid w:val="00A20523"/>
    <w:rsid w:val="00A21754"/>
    <w:rsid w:val="00A23F31"/>
    <w:rsid w:val="00A319C4"/>
    <w:rsid w:val="00A366CC"/>
    <w:rsid w:val="00A435BD"/>
    <w:rsid w:val="00A46016"/>
    <w:rsid w:val="00A55389"/>
    <w:rsid w:val="00A57E9B"/>
    <w:rsid w:val="00A804F8"/>
    <w:rsid w:val="00A828A1"/>
    <w:rsid w:val="00A85E49"/>
    <w:rsid w:val="00A973E5"/>
    <w:rsid w:val="00AB509B"/>
    <w:rsid w:val="00AC2E11"/>
    <w:rsid w:val="00AC4CBE"/>
    <w:rsid w:val="00AD39E6"/>
    <w:rsid w:val="00AE2D84"/>
    <w:rsid w:val="00AE3A55"/>
    <w:rsid w:val="00AE609E"/>
    <w:rsid w:val="00AE7A38"/>
    <w:rsid w:val="00AF443C"/>
    <w:rsid w:val="00AF7DC8"/>
    <w:rsid w:val="00B0685F"/>
    <w:rsid w:val="00B20F0C"/>
    <w:rsid w:val="00B52EB2"/>
    <w:rsid w:val="00B542E5"/>
    <w:rsid w:val="00B60793"/>
    <w:rsid w:val="00B66103"/>
    <w:rsid w:val="00B732DF"/>
    <w:rsid w:val="00B766EB"/>
    <w:rsid w:val="00B84858"/>
    <w:rsid w:val="00B94BD8"/>
    <w:rsid w:val="00BA418B"/>
    <w:rsid w:val="00BC3EE2"/>
    <w:rsid w:val="00BC763D"/>
    <w:rsid w:val="00BD4EC1"/>
    <w:rsid w:val="00BD7E76"/>
    <w:rsid w:val="00BE2826"/>
    <w:rsid w:val="00BE7704"/>
    <w:rsid w:val="00BF22FF"/>
    <w:rsid w:val="00BF2994"/>
    <w:rsid w:val="00BF4880"/>
    <w:rsid w:val="00C01D4F"/>
    <w:rsid w:val="00C12B4F"/>
    <w:rsid w:val="00C1423F"/>
    <w:rsid w:val="00C16860"/>
    <w:rsid w:val="00C16980"/>
    <w:rsid w:val="00C2466F"/>
    <w:rsid w:val="00C2632F"/>
    <w:rsid w:val="00C40AE8"/>
    <w:rsid w:val="00C44DE2"/>
    <w:rsid w:val="00C452C2"/>
    <w:rsid w:val="00C47F23"/>
    <w:rsid w:val="00C51BFE"/>
    <w:rsid w:val="00C6552D"/>
    <w:rsid w:val="00C711B3"/>
    <w:rsid w:val="00C93FAC"/>
    <w:rsid w:val="00CA44AC"/>
    <w:rsid w:val="00CA62B5"/>
    <w:rsid w:val="00CB3549"/>
    <w:rsid w:val="00CC2D0F"/>
    <w:rsid w:val="00CC7251"/>
    <w:rsid w:val="00CD3278"/>
    <w:rsid w:val="00CE150C"/>
    <w:rsid w:val="00CF06B9"/>
    <w:rsid w:val="00CF719B"/>
    <w:rsid w:val="00D0707C"/>
    <w:rsid w:val="00D16F1D"/>
    <w:rsid w:val="00D226DE"/>
    <w:rsid w:val="00D270BC"/>
    <w:rsid w:val="00D30F12"/>
    <w:rsid w:val="00D317CC"/>
    <w:rsid w:val="00D363DD"/>
    <w:rsid w:val="00D41BE0"/>
    <w:rsid w:val="00D70BC6"/>
    <w:rsid w:val="00D70C7A"/>
    <w:rsid w:val="00D71665"/>
    <w:rsid w:val="00D821B2"/>
    <w:rsid w:val="00D863E6"/>
    <w:rsid w:val="00DB11B9"/>
    <w:rsid w:val="00DB4A9C"/>
    <w:rsid w:val="00DC58F2"/>
    <w:rsid w:val="00DC762A"/>
    <w:rsid w:val="00DD0C30"/>
    <w:rsid w:val="00DD3907"/>
    <w:rsid w:val="00DF1F88"/>
    <w:rsid w:val="00DF308F"/>
    <w:rsid w:val="00E023CD"/>
    <w:rsid w:val="00E04327"/>
    <w:rsid w:val="00E04745"/>
    <w:rsid w:val="00E06D6A"/>
    <w:rsid w:val="00E12EB6"/>
    <w:rsid w:val="00E16A0E"/>
    <w:rsid w:val="00E16B27"/>
    <w:rsid w:val="00E31B35"/>
    <w:rsid w:val="00E31FD5"/>
    <w:rsid w:val="00E579BF"/>
    <w:rsid w:val="00E72519"/>
    <w:rsid w:val="00E73B68"/>
    <w:rsid w:val="00E84ADD"/>
    <w:rsid w:val="00E85DB9"/>
    <w:rsid w:val="00E86529"/>
    <w:rsid w:val="00E9035A"/>
    <w:rsid w:val="00E96218"/>
    <w:rsid w:val="00EA4734"/>
    <w:rsid w:val="00EA5291"/>
    <w:rsid w:val="00EA7E7C"/>
    <w:rsid w:val="00EB070D"/>
    <w:rsid w:val="00EB1DFC"/>
    <w:rsid w:val="00EC0753"/>
    <w:rsid w:val="00EC09E7"/>
    <w:rsid w:val="00EC1F75"/>
    <w:rsid w:val="00EC51CF"/>
    <w:rsid w:val="00EC68C4"/>
    <w:rsid w:val="00ED0EC3"/>
    <w:rsid w:val="00ED1313"/>
    <w:rsid w:val="00F0659F"/>
    <w:rsid w:val="00F13C3A"/>
    <w:rsid w:val="00F17F92"/>
    <w:rsid w:val="00F2257F"/>
    <w:rsid w:val="00F22CB3"/>
    <w:rsid w:val="00F23C75"/>
    <w:rsid w:val="00F32962"/>
    <w:rsid w:val="00F372D1"/>
    <w:rsid w:val="00F37800"/>
    <w:rsid w:val="00F42AC2"/>
    <w:rsid w:val="00F43A50"/>
    <w:rsid w:val="00F5187C"/>
    <w:rsid w:val="00F74742"/>
    <w:rsid w:val="00F8546B"/>
    <w:rsid w:val="00F86862"/>
    <w:rsid w:val="00F92C83"/>
    <w:rsid w:val="00F95593"/>
    <w:rsid w:val="00FA0110"/>
    <w:rsid w:val="00FA0BB9"/>
    <w:rsid w:val="00FA3F0D"/>
    <w:rsid w:val="00FC753E"/>
    <w:rsid w:val="00FD5A11"/>
    <w:rsid w:val="00FF0764"/>
    <w:rsid w:val="00FF0C35"/>
    <w:rsid w:val="00FF78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837EC7"/>
    <w:pPr>
      <w:tabs>
        <w:tab w:val="center" w:pos="4536"/>
        <w:tab w:val="right" w:pos="9072"/>
      </w:tabs>
    </w:pPr>
  </w:style>
  <w:style w:type="character" w:customStyle="1" w:styleId="KopfzeileZchn">
    <w:name w:val="Kopfzeile Zchn"/>
    <w:basedOn w:val="Absatz-Standardschriftart"/>
    <w:link w:val="Kopfzeile"/>
    <w:uiPriority w:val="99"/>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customStyle="1" w:styleId="apple-converted-space">
    <w:name w:val="apple-converted-space"/>
    <w:basedOn w:val="Absatz-Standardschriftart"/>
    <w:rsid w:val="002C1C59"/>
  </w:style>
  <w:style w:type="character" w:styleId="Hyperlink">
    <w:name w:val="Hyperlink"/>
    <w:basedOn w:val="Absatz-Standardschriftart"/>
    <w:uiPriority w:val="99"/>
    <w:unhideWhenUsed/>
    <w:rsid w:val="002C1C59"/>
    <w:rPr>
      <w:color w:val="0000FF" w:themeColor="hyperlink"/>
      <w:u w:val="single"/>
    </w:rPr>
  </w:style>
  <w:style w:type="character" w:styleId="Zeilennummer">
    <w:name w:val="line number"/>
    <w:basedOn w:val="Absatz-Standardschriftart"/>
    <w:uiPriority w:val="99"/>
    <w:semiHidden/>
    <w:unhideWhenUsed/>
    <w:rsid w:val="002C1C59"/>
  </w:style>
  <w:style w:type="paragraph" w:customStyle="1" w:styleId="Aufzhlung">
    <w:name w:val="Aufzählung"/>
    <w:basedOn w:val="Standard"/>
    <w:qFormat/>
    <w:rsid w:val="00EB1DFC"/>
    <w:pPr>
      <w:numPr>
        <w:numId w:val="23"/>
      </w:numPr>
      <w:spacing w:before="80" w:after="80" w:line="240" w:lineRule="auto"/>
      <w:ind w:left="284" w:hanging="227"/>
    </w:pPr>
    <w:rPr>
      <w:rFonts w:eastAsia="Arial Unicode MS" w:cs="Arial"/>
      <w:color w:val="000000"/>
      <w:lang w:eastAsia="de-DE"/>
    </w:rPr>
  </w:style>
  <w:style w:type="paragraph" w:styleId="KeinLeerraum">
    <w:name w:val="No Spacing"/>
    <w:uiPriority w:val="1"/>
    <w:qFormat/>
    <w:rsid w:val="0064788B"/>
    <w:rPr>
      <w:rFonts w:ascii="Arial" w:hAnsi="Arial"/>
      <w:sz w:val="22"/>
      <w:szCs w:val="22"/>
      <w:lang w:eastAsia="en-US"/>
    </w:rPr>
  </w:style>
  <w:style w:type="paragraph" w:styleId="berarbeitung">
    <w:name w:val="Revision"/>
    <w:hidden/>
    <w:uiPriority w:val="99"/>
    <w:semiHidden/>
    <w:rsid w:val="00066070"/>
    <w:rPr>
      <w:rFonts w:ascii="Arial" w:hAnsi="Arial"/>
      <w:sz w:val="22"/>
      <w:szCs w:val="22"/>
      <w:lang w:eastAsia="en-US"/>
    </w:rPr>
  </w:style>
  <w:style w:type="character" w:styleId="Kommentarzeichen">
    <w:name w:val="annotation reference"/>
    <w:basedOn w:val="Absatz-Standardschriftart"/>
    <w:uiPriority w:val="99"/>
    <w:semiHidden/>
    <w:unhideWhenUsed/>
    <w:rsid w:val="009A1174"/>
    <w:rPr>
      <w:sz w:val="16"/>
      <w:szCs w:val="16"/>
    </w:rPr>
  </w:style>
  <w:style w:type="paragraph" w:styleId="Kommentartext">
    <w:name w:val="annotation text"/>
    <w:basedOn w:val="Standard"/>
    <w:link w:val="KommentartextZchn"/>
    <w:uiPriority w:val="99"/>
    <w:semiHidden/>
    <w:unhideWhenUsed/>
    <w:rsid w:val="009A11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117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9A1174"/>
    <w:rPr>
      <w:b/>
      <w:bCs/>
    </w:rPr>
  </w:style>
  <w:style w:type="character" w:customStyle="1" w:styleId="KommentarthemaZchn">
    <w:name w:val="Kommentarthema Zchn"/>
    <w:basedOn w:val="KommentartextZchn"/>
    <w:link w:val="Kommentarthema"/>
    <w:uiPriority w:val="99"/>
    <w:semiHidden/>
    <w:rsid w:val="009A1174"/>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37EC7"/>
    <w:pPr>
      <w:tabs>
        <w:tab w:val="center" w:pos="4536"/>
        <w:tab w:val="right" w:pos="9072"/>
      </w:tabs>
    </w:pPr>
  </w:style>
  <w:style w:type="character" w:customStyle="1" w:styleId="KopfzeileZchn">
    <w:name w:val="Kopfzeile Zchn"/>
    <w:basedOn w:val="Absatz-Standardschriftart"/>
    <w:link w:val="Kopfzeile"/>
    <w:uiPriority w:val="99"/>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customStyle="1" w:styleId="apple-converted-space">
    <w:name w:val="apple-converted-space"/>
    <w:basedOn w:val="Absatz-Standardschriftart"/>
    <w:rsid w:val="002C1C59"/>
  </w:style>
  <w:style w:type="character" w:styleId="Hyperlink">
    <w:name w:val="Hyperlink"/>
    <w:basedOn w:val="Absatz-Standardschriftart"/>
    <w:uiPriority w:val="99"/>
    <w:unhideWhenUsed/>
    <w:rsid w:val="002C1C59"/>
    <w:rPr>
      <w:color w:val="0000FF" w:themeColor="hyperlink"/>
      <w:u w:val="single"/>
    </w:rPr>
  </w:style>
  <w:style w:type="character" w:styleId="Zeilennummer">
    <w:name w:val="line number"/>
    <w:basedOn w:val="Absatz-Standardschriftart"/>
    <w:uiPriority w:val="99"/>
    <w:semiHidden/>
    <w:unhideWhenUsed/>
    <w:rsid w:val="002C1C59"/>
  </w:style>
  <w:style w:type="paragraph" w:customStyle="1" w:styleId="Aufzhlung">
    <w:name w:val="Aufzählung"/>
    <w:basedOn w:val="Standard"/>
    <w:qFormat/>
    <w:rsid w:val="00EB1DFC"/>
    <w:pPr>
      <w:numPr>
        <w:numId w:val="23"/>
      </w:numPr>
      <w:spacing w:before="80" w:after="80" w:line="240" w:lineRule="auto"/>
      <w:ind w:left="284" w:hanging="227"/>
    </w:pPr>
    <w:rPr>
      <w:rFonts w:eastAsia="Arial Unicode MS" w:cs="Arial"/>
      <w:color w:val="000000"/>
      <w:lang w:eastAsia="de-DE"/>
    </w:rPr>
  </w:style>
  <w:style w:type="paragraph" w:styleId="KeinLeerraum">
    <w:name w:val="No Spacing"/>
    <w:uiPriority w:val="1"/>
    <w:qFormat/>
    <w:rsid w:val="0064788B"/>
    <w:rPr>
      <w:rFonts w:ascii="Arial" w:hAnsi="Arial"/>
      <w:sz w:val="22"/>
      <w:szCs w:val="22"/>
      <w:lang w:eastAsia="en-US"/>
    </w:rPr>
  </w:style>
  <w:style w:type="paragraph" w:styleId="berarbeitung">
    <w:name w:val="Revision"/>
    <w:hidden/>
    <w:uiPriority w:val="99"/>
    <w:semiHidden/>
    <w:rsid w:val="00066070"/>
    <w:rPr>
      <w:rFonts w:ascii="Arial" w:hAnsi="Arial"/>
      <w:sz w:val="22"/>
      <w:szCs w:val="22"/>
      <w:lang w:eastAsia="en-US"/>
    </w:rPr>
  </w:style>
  <w:style w:type="character" w:styleId="Kommentarzeichen">
    <w:name w:val="annotation reference"/>
    <w:basedOn w:val="Absatz-Standardschriftart"/>
    <w:uiPriority w:val="99"/>
    <w:semiHidden/>
    <w:unhideWhenUsed/>
    <w:rsid w:val="009A1174"/>
    <w:rPr>
      <w:sz w:val="16"/>
      <w:szCs w:val="16"/>
    </w:rPr>
  </w:style>
  <w:style w:type="paragraph" w:styleId="Kommentartext">
    <w:name w:val="annotation text"/>
    <w:basedOn w:val="Standard"/>
    <w:link w:val="KommentartextZchn"/>
    <w:uiPriority w:val="99"/>
    <w:semiHidden/>
    <w:unhideWhenUsed/>
    <w:rsid w:val="009A11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117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9A1174"/>
    <w:rPr>
      <w:b/>
      <w:bCs/>
    </w:rPr>
  </w:style>
  <w:style w:type="character" w:customStyle="1" w:styleId="KommentarthemaZchn">
    <w:name w:val="Kommentarthema Zchn"/>
    <w:basedOn w:val="KommentartextZchn"/>
    <w:link w:val="Kommentarthema"/>
    <w:uiPriority w:val="99"/>
    <w:semiHidden/>
    <w:rsid w:val="009A1174"/>
    <w:rPr>
      <w:rFonts w:ascii="Arial" w:hAnsi="Arial"/>
      <w:b/>
      <w:bCs/>
      <w:lang w:eastAsia="en-US"/>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ter\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383AB-AE32-4402-88D6-32A40959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Template>
  <TotalTime>0</TotalTime>
  <Pages>5</Pages>
  <Words>1083</Words>
  <Characters>6825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Beste</dc:creator>
  <cp:lastModifiedBy>Peschel</cp:lastModifiedBy>
  <cp:revision>2</cp:revision>
  <cp:lastPrinted>2015-08-19T09:48:00Z</cp:lastPrinted>
  <dcterms:created xsi:type="dcterms:W3CDTF">2015-12-03T13:59:00Z</dcterms:created>
  <dcterms:modified xsi:type="dcterms:W3CDTF">2015-12-03T13:59:00Z</dcterms:modified>
</cp:coreProperties>
</file>