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7D78FD">
      <w:pPr>
        <w:suppressAutoHyphens/>
        <w:spacing w:after="120"/>
      </w:pPr>
      <w:r w:rsidRPr="008119C5">
        <w:t>Standardillustrierende Aufgaben veranschaulichen beispielhaft Standards für Lehrkräfte, Lernende und Eltern.</w:t>
      </w:r>
      <w:bookmarkStart w:id="0" w:name="_GoBack"/>
      <w:bookmarkEnd w:id="0"/>
    </w:p>
    <w:p w:rsidR="007D78FD" w:rsidRDefault="007D78FD" w:rsidP="007D78FD">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7D78FD">
            <w:pPr>
              <w:suppressAutoHyphens/>
              <w:spacing w:before="60" w:after="60"/>
              <w:rPr>
                <w:b/>
              </w:rPr>
            </w:pPr>
            <w:r w:rsidRPr="008119C5">
              <w:rPr>
                <w:b/>
              </w:rPr>
              <w:t>Fach</w:t>
            </w:r>
          </w:p>
        </w:tc>
        <w:tc>
          <w:tcPr>
            <w:tcW w:w="6433" w:type="dxa"/>
            <w:gridSpan w:val="3"/>
          </w:tcPr>
          <w:p w:rsidR="00B94BD8" w:rsidRPr="00202F49" w:rsidRDefault="000E10E7" w:rsidP="007D78FD">
            <w:pPr>
              <w:suppressAutoHyphens/>
              <w:spacing w:before="60" w:after="60"/>
            </w:pPr>
            <w:r>
              <w:t>Geschichte</w:t>
            </w:r>
          </w:p>
        </w:tc>
      </w:tr>
      <w:tr w:rsidR="00420481" w:rsidRPr="008119C5" w:rsidTr="00C16860">
        <w:tc>
          <w:tcPr>
            <w:tcW w:w="2802" w:type="dxa"/>
          </w:tcPr>
          <w:p w:rsidR="00420481" w:rsidRPr="009B046A" w:rsidRDefault="00420481" w:rsidP="00152463">
            <w:pPr>
              <w:suppressAutoHyphens/>
              <w:spacing w:before="60" w:after="60"/>
              <w:rPr>
                <w:b/>
              </w:rPr>
            </w:pPr>
            <w:r w:rsidRPr="009B046A">
              <w:rPr>
                <w:b/>
              </w:rPr>
              <w:t>Name der Aufgabe</w:t>
            </w:r>
          </w:p>
        </w:tc>
        <w:tc>
          <w:tcPr>
            <w:tcW w:w="6433" w:type="dxa"/>
            <w:gridSpan w:val="3"/>
          </w:tcPr>
          <w:p w:rsidR="00420481" w:rsidRPr="00EA1278" w:rsidRDefault="00451218" w:rsidP="00152463">
            <w:pPr>
              <w:suppressAutoHyphens/>
              <w:spacing w:before="60" w:after="60"/>
              <w:rPr>
                <w:color w:val="FF0000"/>
              </w:rPr>
            </w:pPr>
            <w:proofErr w:type="spellStart"/>
            <w:r>
              <w:t>Geschichte_Deuten</w:t>
            </w:r>
            <w:proofErr w:type="spellEnd"/>
            <w:r>
              <w:t>_</w:t>
            </w:r>
            <w:r w:rsidR="009773F1">
              <w:t xml:space="preserve"> Herero und </w:t>
            </w:r>
            <w:proofErr w:type="spellStart"/>
            <w:r w:rsidR="009773F1">
              <w:t>Nama</w:t>
            </w:r>
            <w:r>
              <w:t>_G</w:t>
            </w:r>
            <w:proofErr w:type="spellEnd"/>
          </w:p>
        </w:tc>
      </w:tr>
      <w:tr w:rsidR="00B94BD8" w:rsidRPr="008119C5" w:rsidTr="00C16860">
        <w:tc>
          <w:tcPr>
            <w:tcW w:w="2802" w:type="dxa"/>
          </w:tcPr>
          <w:p w:rsidR="00B94BD8" w:rsidRPr="008119C5" w:rsidRDefault="00B94BD8" w:rsidP="007D78FD">
            <w:pPr>
              <w:suppressAutoHyphens/>
              <w:spacing w:before="60" w:after="60"/>
              <w:rPr>
                <w:b/>
              </w:rPr>
            </w:pPr>
            <w:r w:rsidRPr="008119C5">
              <w:rPr>
                <w:b/>
              </w:rPr>
              <w:t>Kompetenzbereich</w:t>
            </w:r>
          </w:p>
        </w:tc>
        <w:tc>
          <w:tcPr>
            <w:tcW w:w="6433" w:type="dxa"/>
            <w:gridSpan w:val="3"/>
          </w:tcPr>
          <w:p w:rsidR="00B94BD8" w:rsidRPr="008A1768" w:rsidRDefault="001A6150" w:rsidP="007D78FD">
            <w:pPr>
              <w:suppressAutoHyphens/>
              <w:spacing w:before="60" w:after="60"/>
            </w:pPr>
            <w:r>
              <w:t>Deuten</w:t>
            </w:r>
            <w:r w:rsidR="003C72C6">
              <w:t xml:space="preserve"> (Ge-K</w:t>
            </w:r>
            <w:r w:rsidR="009773F1">
              <w:t>1</w:t>
            </w:r>
            <w:r w:rsidR="000E10E7">
              <w:t>)</w:t>
            </w:r>
          </w:p>
        </w:tc>
      </w:tr>
      <w:tr w:rsidR="00B94BD8" w:rsidRPr="008119C5" w:rsidTr="00C16860">
        <w:tc>
          <w:tcPr>
            <w:tcW w:w="2802" w:type="dxa"/>
          </w:tcPr>
          <w:p w:rsidR="00B94BD8" w:rsidRPr="008119C5" w:rsidRDefault="00B94BD8" w:rsidP="007D78FD">
            <w:pPr>
              <w:tabs>
                <w:tab w:val="left" w:pos="1373"/>
              </w:tabs>
              <w:suppressAutoHyphens/>
              <w:spacing w:before="60" w:after="60"/>
              <w:rPr>
                <w:b/>
              </w:rPr>
            </w:pPr>
            <w:r w:rsidRPr="008119C5">
              <w:rPr>
                <w:b/>
              </w:rPr>
              <w:t>Kompetenz</w:t>
            </w:r>
          </w:p>
        </w:tc>
        <w:tc>
          <w:tcPr>
            <w:tcW w:w="6433" w:type="dxa"/>
            <w:gridSpan w:val="3"/>
          </w:tcPr>
          <w:p w:rsidR="00B94BD8" w:rsidRPr="008A1768" w:rsidRDefault="009773F1" w:rsidP="007D78FD">
            <w:pPr>
              <w:tabs>
                <w:tab w:val="left" w:pos="1373"/>
              </w:tabs>
              <w:suppressAutoHyphens/>
              <w:spacing w:before="60" w:after="60"/>
            </w:pPr>
            <w:r>
              <w:t xml:space="preserve">Menschliches Handeln in der Vergangenheit untersuchen </w:t>
            </w:r>
            <w:r w:rsidR="000E10E7">
              <w:t>(Ge-K</w:t>
            </w:r>
            <w:r>
              <w:t>1.</w:t>
            </w:r>
            <w:r w:rsidR="003C72C6">
              <w:t>2</w:t>
            </w:r>
            <w:r w:rsidR="000E10E7" w:rsidRPr="00B85AFB">
              <w:t>)</w:t>
            </w:r>
          </w:p>
        </w:tc>
      </w:tr>
      <w:tr w:rsidR="00B94BD8" w:rsidRPr="008119C5" w:rsidTr="00C16860">
        <w:tc>
          <w:tcPr>
            <w:tcW w:w="2802" w:type="dxa"/>
          </w:tcPr>
          <w:p w:rsidR="00B94BD8" w:rsidRPr="008119C5" w:rsidRDefault="008E2ED1" w:rsidP="007D78FD">
            <w:pPr>
              <w:tabs>
                <w:tab w:val="left" w:pos="1190"/>
              </w:tabs>
              <w:suppressAutoHyphens/>
              <w:spacing w:before="60" w:after="60"/>
              <w:rPr>
                <w:b/>
              </w:rPr>
            </w:pPr>
            <w:r>
              <w:rPr>
                <w:b/>
              </w:rPr>
              <w:t>Niveaus</w:t>
            </w:r>
            <w:r w:rsidR="00B94BD8" w:rsidRPr="008119C5">
              <w:rPr>
                <w:b/>
              </w:rPr>
              <w:t>tufe</w:t>
            </w:r>
            <w:r w:rsidR="00EA4734">
              <w:rPr>
                <w:b/>
              </w:rPr>
              <w:t>(n)</w:t>
            </w:r>
          </w:p>
        </w:tc>
        <w:tc>
          <w:tcPr>
            <w:tcW w:w="6433" w:type="dxa"/>
            <w:gridSpan w:val="3"/>
          </w:tcPr>
          <w:p w:rsidR="00B94BD8" w:rsidRPr="008A1768" w:rsidRDefault="009773F1" w:rsidP="007D78FD">
            <w:pPr>
              <w:tabs>
                <w:tab w:val="left" w:pos="1190"/>
              </w:tabs>
              <w:suppressAutoHyphens/>
              <w:spacing w:before="60" w:after="60"/>
            </w:pPr>
            <w:r>
              <w:t>G</w:t>
            </w:r>
          </w:p>
        </w:tc>
      </w:tr>
      <w:tr w:rsidR="008E2ED1" w:rsidRPr="008119C5" w:rsidTr="00C16860">
        <w:tc>
          <w:tcPr>
            <w:tcW w:w="2802" w:type="dxa"/>
          </w:tcPr>
          <w:p w:rsidR="008E2ED1" w:rsidRDefault="008E2ED1" w:rsidP="007D78FD">
            <w:pPr>
              <w:tabs>
                <w:tab w:val="left" w:pos="1190"/>
              </w:tabs>
              <w:suppressAutoHyphens/>
              <w:spacing w:before="60" w:after="60"/>
              <w:rPr>
                <w:b/>
              </w:rPr>
            </w:pPr>
            <w:r w:rsidRPr="008119C5">
              <w:rPr>
                <w:b/>
              </w:rPr>
              <w:t>Standard</w:t>
            </w:r>
          </w:p>
        </w:tc>
        <w:tc>
          <w:tcPr>
            <w:tcW w:w="6433" w:type="dxa"/>
            <w:gridSpan w:val="3"/>
          </w:tcPr>
          <w:p w:rsidR="008E2ED1" w:rsidRPr="008A1768" w:rsidRDefault="00F729A8" w:rsidP="007D78FD">
            <w:pPr>
              <w:tabs>
                <w:tab w:val="left" w:pos="1190"/>
              </w:tabs>
              <w:suppressAutoHyphens/>
              <w:spacing w:before="60" w:after="60"/>
            </w:pPr>
            <w:r w:rsidRPr="00621E88">
              <w:t xml:space="preserve">Die Schülerinnen und Schüler können </w:t>
            </w:r>
            <w:r w:rsidR="009773F1">
              <w:t>historische Handlungsalternativen diskutieren</w:t>
            </w:r>
            <w:r w:rsidRPr="00621E88">
              <w:t>.</w:t>
            </w:r>
          </w:p>
        </w:tc>
      </w:tr>
      <w:tr w:rsidR="00B94BD8" w:rsidRPr="008119C5" w:rsidTr="00C16860">
        <w:tc>
          <w:tcPr>
            <w:tcW w:w="2802" w:type="dxa"/>
            <w:tcBorders>
              <w:bottom w:val="single" w:sz="4" w:space="0" w:color="808080" w:themeColor="background1" w:themeShade="80"/>
            </w:tcBorders>
          </w:tcPr>
          <w:p w:rsidR="00B94BD8" w:rsidRPr="008119C5" w:rsidRDefault="00B94BD8" w:rsidP="007D78FD">
            <w:pPr>
              <w:tabs>
                <w:tab w:val="left" w:pos="1190"/>
              </w:tabs>
              <w:suppressAutoHyphens/>
              <w:spacing w:before="60" w:after="60"/>
              <w:rPr>
                <w:b/>
              </w:rPr>
            </w:pPr>
            <w:r>
              <w:rPr>
                <w:b/>
              </w:rPr>
              <w:t>ggf. Themenfeld</w:t>
            </w:r>
          </w:p>
        </w:tc>
        <w:tc>
          <w:tcPr>
            <w:tcW w:w="6433" w:type="dxa"/>
            <w:gridSpan w:val="3"/>
            <w:tcBorders>
              <w:bottom w:val="single" w:sz="4" w:space="0" w:color="808080" w:themeColor="background1" w:themeShade="80"/>
            </w:tcBorders>
          </w:tcPr>
          <w:p w:rsidR="00C3332D" w:rsidRDefault="00F729A8" w:rsidP="007D78FD">
            <w:pPr>
              <w:tabs>
                <w:tab w:val="left" w:pos="1190"/>
              </w:tabs>
              <w:suppressAutoHyphens/>
              <w:spacing w:before="60" w:after="60"/>
            </w:pPr>
            <w:r w:rsidRPr="00621E88">
              <w:t>3.</w:t>
            </w:r>
            <w:r w:rsidR="00C3332D">
              <w:t>6</w:t>
            </w:r>
            <w:r w:rsidR="009773F1">
              <w:t xml:space="preserve"> Wahlmodul </w:t>
            </w:r>
            <w:r w:rsidR="00C3332D">
              <w:t>9</w:t>
            </w:r>
            <w:r w:rsidR="001A6150">
              <w:t>/</w:t>
            </w:r>
            <w:r w:rsidR="00C3332D">
              <w:t>10</w:t>
            </w:r>
          </w:p>
          <w:p w:rsidR="00244EC0" w:rsidRPr="00FA1794" w:rsidRDefault="00C3332D" w:rsidP="00152463">
            <w:pPr>
              <w:tabs>
                <w:tab w:val="left" w:pos="1190"/>
              </w:tabs>
              <w:suppressAutoHyphens/>
              <w:spacing w:before="60" w:after="60"/>
            </w:pPr>
            <w:r>
              <w:t>Völkermorde und Massengewalt (Fallanalyse</w:t>
            </w:r>
            <w:r w:rsidR="009773F1">
              <w:t>)</w:t>
            </w:r>
          </w:p>
        </w:tc>
      </w:tr>
      <w:tr w:rsidR="005C16CC" w:rsidRPr="008119C5" w:rsidTr="00C16860">
        <w:tc>
          <w:tcPr>
            <w:tcW w:w="2802" w:type="dxa"/>
            <w:tcBorders>
              <w:bottom w:val="single" w:sz="4" w:space="0" w:color="808080" w:themeColor="background1" w:themeShade="80"/>
            </w:tcBorders>
          </w:tcPr>
          <w:p w:rsidR="005C16CC" w:rsidRDefault="005C16CC" w:rsidP="007D78FD">
            <w:pPr>
              <w:tabs>
                <w:tab w:val="left" w:pos="1190"/>
              </w:tabs>
              <w:suppressAutoHyphens/>
              <w:spacing w:before="60" w:after="6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Default="000E10E7" w:rsidP="007D78FD">
            <w:pPr>
              <w:tabs>
                <w:tab w:val="left" w:pos="1190"/>
              </w:tabs>
              <w:suppressAutoHyphens/>
              <w:spacing w:before="60" w:after="60"/>
            </w:pPr>
            <w:r>
              <w:t>Sprachbildung</w:t>
            </w:r>
          </w:p>
          <w:p w:rsidR="0022527D" w:rsidRPr="0022527D" w:rsidRDefault="0022527D" w:rsidP="007D78FD">
            <w:pPr>
              <w:pStyle w:val="KeinLeerraum"/>
              <w:suppressAutoHyphens/>
              <w:spacing w:before="60" w:after="60"/>
              <w:rPr>
                <w:rFonts w:ascii="Arial" w:hAnsi="Arial" w:cs="Arial"/>
              </w:rPr>
            </w:pPr>
            <w:r w:rsidRPr="0022527D">
              <w:rPr>
                <w:rFonts w:ascii="Arial" w:hAnsi="Arial" w:cs="Arial"/>
              </w:rPr>
              <w:t>3.2 Bildung zur Akzeptanz von Vielfalt (</w:t>
            </w:r>
            <w:proofErr w:type="spellStart"/>
            <w:r w:rsidRPr="0022527D">
              <w:rPr>
                <w:rFonts w:ascii="Arial" w:hAnsi="Arial" w:cs="Arial"/>
              </w:rPr>
              <w:t>Diversity</w:t>
            </w:r>
            <w:proofErr w:type="spellEnd"/>
            <w:r w:rsidRPr="0022527D">
              <w:rPr>
                <w:rFonts w:ascii="Arial" w:hAnsi="Arial" w:cs="Arial"/>
              </w:rPr>
              <w:t>)</w:t>
            </w:r>
          </w:p>
          <w:p w:rsidR="0022527D" w:rsidRPr="0022527D" w:rsidRDefault="0022527D" w:rsidP="007D78FD">
            <w:pPr>
              <w:pStyle w:val="KeinLeerraum"/>
              <w:suppressAutoHyphens/>
              <w:spacing w:before="60" w:after="60"/>
              <w:rPr>
                <w:rFonts w:ascii="Arial" w:hAnsi="Arial" w:cs="Arial"/>
              </w:rPr>
            </w:pPr>
            <w:r w:rsidRPr="0022527D">
              <w:rPr>
                <w:rFonts w:ascii="Arial" w:hAnsi="Arial" w:cs="Arial"/>
              </w:rPr>
              <w:t>3.3 Demokratiebildung</w:t>
            </w:r>
          </w:p>
          <w:p w:rsidR="0022527D" w:rsidRPr="00202F49" w:rsidRDefault="0022527D" w:rsidP="007D78FD">
            <w:pPr>
              <w:pStyle w:val="KeinLeerraum"/>
              <w:suppressAutoHyphens/>
              <w:spacing w:before="60" w:after="60"/>
            </w:pPr>
            <w:r w:rsidRPr="0022527D">
              <w:rPr>
                <w:rFonts w:ascii="Arial" w:hAnsi="Arial" w:cs="Arial"/>
              </w:rPr>
              <w:t>3.8 Interkulturelle Bildung und Erziehung</w:t>
            </w:r>
          </w:p>
        </w:tc>
      </w:tr>
      <w:tr w:rsidR="005C16CC" w:rsidRPr="008119C5" w:rsidTr="003F49B5">
        <w:trPr>
          <w:trHeight w:val="2948"/>
        </w:trPr>
        <w:tc>
          <w:tcPr>
            <w:tcW w:w="2802" w:type="dxa"/>
            <w:tcBorders>
              <w:bottom w:val="single" w:sz="4" w:space="0" w:color="808080" w:themeColor="background1" w:themeShade="80"/>
            </w:tcBorders>
          </w:tcPr>
          <w:p w:rsidR="005C16CC" w:rsidRDefault="004851BE" w:rsidP="007D78FD">
            <w:pPr>
              <w:tabs>
                <w:tab w:val="left" w:pos="1190"/>
              </w:tabs>
              <w:suppressAutoHyphens/>
              <w:spacing w:before="60" w:after="6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vAlign w:val="center"/>
          </w:tcPr>
          <w:p w:rsidR="000E10E7" w:rsidRPr="00B457B0" w:rsidRDefault="00FE1F41" w:rsidP="007D78FD">
            <w:pPr>
              <w:tabs>
                <w:tab w:val="left" w:pos="1190"/>
              </w:tabs>
              <w:suppressAutoHyphens/>
              <w:spacing w:before="60" w:after="60" w:line="240" w:lineRule="auto"/>
              <w:rPr>
                <w:rFonts w:cs="Arial"/>
              </w:rPr>
            </w:pPr>
            <w:r>
              <w:t>1.3.2</w:t>
            </w:r>
            <w:r w:rsidR="00B85AFB">
              <w:t xml:space="preserve"> </w:t>
            </w:r>
            <w:r>
              <w:t xml:space="preserve">Rezeption/Leseverstehen (SB-K2) - </w:t>
            </w:r>
            <w:r w:rsidR="000E10E7">
              <w:t>Texte verstehen und nutz</w:t>
            </w:r>
            <w:r w:rsidR="000E10E7">
              <w:rPr>
                <w:rFonts w:cs="Arial"/>
              </w:rPr>
              <w:t xml:space="preserve">en </w:t>
            </w:r>
            <w:r w:rsidR="000E10E7" w:rsidRPr="00B457B0">
              <w:rPr>
                <w:rFonts w:cs="Arial"/>
              </w:rPr>
              <w:t>(SB-K2.1)</w:t>
            </w:r>
          </w:p>
          <w:p w:rsidR="000E10E7" w:rsidRDefault="00AD54F8" w:rsidP="007D78FD">
            <w:pPr>
              <w:tabs>
                <w:tab w:val="left" w:pos="1190"/>
              </w:tabs>
              <w:suppressAutoHyphens/>
              <w:spacing w:before="60" w:after="60" w:line="240" w:lineRule="auto"/>
              <w:rPr>
                <w:rFonts w:cs="Arial"/>
              </w:rPr>
            </w:pPr>
            <w:r>
              <w:rPr>
                <w:rFonts w:cs="Arial"/>
              </w:rPr>
              <w:t>G</w:t>
            </w:r>
            <w:r w:rsidR="000E10E7">
              <w:rPr>
                <w:rFonts w:cs="Arial"/>
              </w:rPr>
              <w:t xml:space="preserve">: </w:t>
            </w:r>
            <w:r>
              <w:rPr>
                <w:rFonts w:cs="Arial"/>
              </w:rPr>
              <w:t>Informationen aus Texten zweckgerichtet nutzen</w:t>
            </w:r>
          </w:p>
          <w:p w:rsidR="000E10E7" w:rsidRPr="00236244" w:rsidRDefault="000E10E7" w:rsidP="007D78FD">
            <w:pPr>
              <w:tabs>
                <w:tab w:val="left" w:pos="1190"/>
              </w:tabs>
              <w:suppressAutoHyphens/>
              <w:spacing w:before="60" w:after="60" w:line="240" w:lineRule="auto"/>
              <w:rPr>
                <w:rFonts w:cs="Arial"/>
                <w:sz w:val="16"/>
                <w:szCs w:val="16"/>
              </w:rPr>
            </w:pPr>
          </w:p>
          <w:p w:rsidR="000E10E7" w:rsidRPr="00B457B0" w:rsidRDefault="00FE1F41" w:rsidP="007D78FD">
            <w:pPr>
              <w:tabs>
                <w:tab w:val="left" w:pos="1190"/>
              </w:tabs>
              <w:suppressAutoHyphens/>
              <w:spacing w:before="60" w:after="60" w:line="240" w:lineRule="auto"/>
              <w:rPr>
                <w:rFonts w:cs="Arial"/>
              </w:rPr>
            </w:pPr>
            <w:r>
              <w:rPr>
                <w:rFonts w:cs="Arial"/>
              </w:rPr>
              <w:t xml:space="preserve">1.3.3 Produktion/Sprechen (SB-K2) - </w:t>
            </w:r>
            <w:r w:rsidR="000E10E7">
              <w:rPr>
                <w:rFonts w:cs="Arial"/>
              </w:rPr>
              <w:t xml:space="preserve">Sachverhalte und Informationen zusammenfassend wiedergeben </w:t>
            </w:r>
            <w:r w:rsidR="000E10E7" w:rsidRPr="00B457B0">
              <w:rPr>
                <w:rFonts w:cs="Arial"/>
              </w:rPr>
              <w:t>(SB-K3.1)</w:t>
            </w:r>
          </w:p>
          <w:p w:rsidR="000E10E7" w:rsidRDefault="00AD54F8" w:rsidP="007D78FD">
            <w:pPr>
              <w:tabs>
                <w:tab w:val="left" w:pos="1190"/>
              </w:tabs>
              <w:suppressAutoHyphens/>
              <w:spacing w:before="60" w:after="60" w:line="240" w:lineRule="auto"/>
              <w:rPr>
                <w:rFonts w:cs="Arial"/>
              </w:rPr>
            </w:pPr>
            <w:r>
              <w:rPr>
                <w:rFonts w:cs="Arial"/>
              </w:rPr>
              <w:t>G</w:t>
            </w:r>
            <w:r w:rsidR="000E10E7">
              <w:rPr>
                <w:rFonts w:cs="Arial"/>
              </w:rPr>
              <w:t xml:space="preserve">: Informationen aus Texten </w:t>
            </w:r>
            <w:r>
              <w:rPr>
                <w:rFonts w:cs="Arial"/>
              </w:rPr>
              <w:t>kommentierend zusammenfassen</w:t>
            </w:r>
          </w:p>
          <w:p w:rsidR="000E10E7" w:rsidRPr="00236244" w:rsidRDefault="00FA1794" w:rsidP="007D78FD">
            <w:pPr>
              <w:tabs>
                <w:tab w:val="left" w:pos="470"/>
              </w:tabs>
              <w:suppressAutoHyphens/>
              <w:spacing w:before="60" w:after="60" w:line="240" w:lineRule="auto"/>
              <w:rPr>
                <w:rFonts w:cs="Arial"/>
                <w:sz w:val="16"/>
                <w:szCs w:val="16"/>
              </w:rPr>
            </w:pPr>
            <w:r>
              <w:rPr>
                <w:rFonts w:cs="Arial"/>
                <w:sz w:val="16"/>
                <w:szCs w:val="16"/>
              </w:rPr>
              <w:tab/>
            </w:r>
          </w:p>
          <w:p w:rsidR="000E10E7" w:rsidRPr="00B457B0" w:rsidRDefault="000E10E7" w:rsidP="007D78FD">
            <w:pPr>
              <w:suppressAutoHyphens/>
              <w:spacing w:before="60" w:after="60" w:line="240" w:lineRule="auto"/>
            </w:pPr>
            <w:r w:rsidRPr="009346C4">
              <w:t xml:space="preserve">Überlegungen zu einem Thema darlegen </w:t>
            </w:r>
            <w:r w:rsidRPr="00B457B0">
              <w:t>(SB-K3.2)</w:t>
            </w:r>
          </w:p>
          <w:p w:rsidR="005C16CC" w:rsidRPr="006949A3" w:rsidRDefault="00AD54F8" w:rsidP="007D78FD">
            <w:pPr>
              <w:suppressAutoHyphens/>
              <w:spacing w:before="60" w:after="60" w:line="240" w:lineRule="auto"/>
            </w:pPr>
            <w:r>
              <w:t>G</w:t>
            </w:r>
            <w:r w:rsidR="000E10E7" w:rsidRPr="009346C4">
              <w:t xml:space="preserve">: zu einem Sachverhalt oder zu Texten </w:t>
            </w:r>
            <w:r>
              <w:t>Stellung nehmen</w:t>
            </w:r>
          </w:p>
        </w:tc>
      </w:tr>
      <w:tr w:rsidR="00F5187C" w:rsidRPr="008119C5" w:rsidTr="00142DFA">
        <w:tc>
          <w:tcPr>
            <w:tcW w:w="9235" w:type="dxa"/>
            <w:gridSpan w:val="4"/>
            <w:tcBorders>
              <w:bottom w:val="nil"/>
            </w:tcBorders>
          </w:tcPr>
          <w:p w:rsidR="00F5187C" w:rsidRPr="008119C5" w:rsidRDefault="00F5187C" w:rsidP="007D78FD">
            <w:pPr>
              <w:suppressAutoHyphens/>
              <w:spacing w:before="60" w:after="6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7D78FD">
            <w:pPr>
              <w:tabs>
                <w:tab w:val="left" w:pos="840"/>
              </w:tabs>
              <w:suppressAutoHyphens/>
              <w:spacing w:before="60" w:after="60"/>
              <w:rPr>
                <w:b/>
              </w:rPr>
            </w:pPr>
            <w:r w:rsidRPr="008119C5">
              <w:rPr>
                <w:b/>
              </w:rPr>
              <w:t>offen</w:t>
            </w:r>
            <w:r w:rsidR="00334567" w:rsidRPr="00202F49">
              <w:rPr>
                <w:b/>
                <w:sz w:val="24"/>
                <w:szCs w:val="24"/>
              </w:rPr>
              <w:tab/>
            </w:r>
            <w:r w:rsidR="000E10E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7D78FD">
            <w:pPr>
              <w:suppressAutoHyphens/>
              <w:spacing w:before="60" w:after="60"/>
              <w:rPr>
                <w:b/>
              </w:rPr>
            </w:pPr>
            <w:r w:rsidRPr="008119C5">
              <w:rPr>
                <w:b/>
              </w:rPr>
              <w:t>halboffen</w:t>
            </w:r>
            <w:r w:rsidR="00334567">
              <w:rPr>
                <w:b/>
              </w:rPr>
              <w:tab/>
            </w:r>
            <w:r w:rsidR="000E10E7">
              <w:rPr>
                <w:b/>
              </w:rPr>
              <w:t>x</w:t>
            </w:r>
          </w:p>
        </w:tc>
        <w:tc>
          <w:tcPr>
            <w:tcW w:w="3079" w:type="dxa"/>
            <w:tcBorders>
              <w:top w:val="nil"/>
              <w:left w:val="nil"/>
              <w:bottom w:val="single" w:sz="4" w:space="0" w:color="808080" w:themeColor="background1" w:themeShade="80"/>
            </w:tcBorders>
          </w:tcPr>
          <w:p w:rsidR="00F17F92" w:rsidRPr="008119C5" w:rsidRDefault="00F17F92" w:rsidP="007D78FD">
            <w:pPr>
              <w:tabs>
                <w:tab w:val="left" w:pos="1735"/>
              </w:tabs>
              <w:suppressAutoHyphens/>
              <w:spacing w:before="60" w:after="6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7D78FD">
            <w:pPr>
              <w:suppressAutoHyphens/>
              <w:spacing w:before="60" w:after="6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152463">
            <w:pPr>
              <w:suppressAutoHyphens/>
              <w:spacing w:before="60" w:after="60"/>
              <w:rPr>
                <w:b/>
              </w:rPr>
            </w:pPr>
            <w:r>
              <w:rPr>
                <w:b/>
              </w:rPr>
              <w:t>Datum</w:t>
            </w:r>
            <w:r w:rsidR="002A50B3">
              <w:rPr>
                <w:b/>
              </w:rPr>
              <w:t>:</w:t>
            </w:r>
          </w:p>
        </w:tc>
        <w:tc>
          <w:tcPr>
            <w:tcW w:w="3078" w:type="dxa"/>
            <w:tcBorders>
              <w:top w:val="nil"/>
              <w:left w:val="nil"/>
              <w:bottom w:val="single" w:sz="4" w:space="0" w:color="808080" w:themeColor="background1" w:themeShade="80"/>
              <w:right w:val="nil"/>
            </w:tcBorders>
          </w:tcPr>
          <w:p w:rsidR="00F17F92" w:rsidRPr="008119C5" w:rsidRDefault="00971722" w:rsidP="007D78FD">
            <w:pPr>
              <w:suppressAutoHyphens/>
              <w:spacing w:before="60" w:after="60"/>
              <w:rPr>
                <w:b/>
              </w:rPr>
            </w:pPr>
            <w:r>
              <w:rPr>
                <w:b/>
              </w:rPr>
              <w:t>Jahrgangsstufe</w:t>
            </w:r>
            <w:r w:rsidR="00F17F92" w:rsidRPr="008119C5">
              <w:rPr>
                <w:b/>
              </w:rPr>
              <w:t>:</w:t>
            </w:r>
            <w:r w:rsidR="00F5187C">
              <w:rPr>
                <w:b/>
              </w:rPr>
              <w:t xml:space="preserve"> </w:t>
            </w:r>
            <w:r w:rsidR="009773F1">
              <w:rPr>
                <w:b/>
              </w:rPr>
              <w:t>9</w:t>
            </w:r>
            <w:r w:rsidR="001A6150">
              <w:rPr>
                <w:b/>
              </w:rPr>
              <w:t>/</w:t>
            </w:r>
            <w:r w:rsidR="009773F1">
              <w:rPr>
                <w:b/>
              </w:rPr>
              <w:t>10</w:t>
            </w:r>
          </w:p>
        </w:tc>
        <w:tc>
          <w:tcPr>
            <w:tcW w:w="3079" w:type="dxa"/>
            <w:tcBorders>
              <w:top w:val="nil"/>
              <w:left w:val="nil"/>
              <w:bottom w:val="single" w:sz="4" w:space="0" w:color="808080" w:themeColor="background1" w:themeShade="80"/>
            </w:tcBorders>
          </w:tcPr>
          <w:p w:rsidR="00F17F92" w:rsidRPr="008119C5" w:rsidRDefault="00F17F92" w:rsidP="00152463">
            <w:pPr>
              <w:suppressAutoHyphens/>
              <w:spacing w:before="60" w:after="60"/>
              <w:rPr>
                <w:b/>
              </w:rPr>
            </w:pPr>
            <w:r w:rsidRPr="008119C5">
              <w:rPr>
                <w:b/>
              </w:rPr>
              <w:t>Schulart: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7D78FD">
            <w:pPr>
              <w:suppressAutoHyphens/>
              <w:spacing w:before="60" w:after="6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22527D" w:rsidP="007D78FD">
            <w:pPr>
              <w:suppressAutoHyphens/>
              <w:spacing w:before="60" w:after="60"/>
            </w:pPr>
            <w:r>
              <w:t>e</w:t>
            </w:r>
            <w:r w:rsidR="009773F1">
              <w:t xml:space="preserve">uropäische Expansion und Kolonialismus; </w:t>
            </w:r>
            <w:r w:rsidR="00C3332D">
              <w:t xml:space="preserve">Imperialismus; </w:t>
            </w:r>
            <w:r w:rsidR="009773F1">
              <w:t>Feindbilder</w:t>
            </w:r>
            <w:r w:rsidR="00C3332D">
              <w:t>; Migration</w:t>
            </w:r>
          </w:p>
        </w:tc>
      </w:tr>
    </w:tbl>
    <w:p w:rsidR="00937B60" w:rsidRDefault="00937B60" w:rsidP="007D78FD">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7D78FD">
      <w:pPr>
        <w:suppressAutoHyphens/>
        <w:spacing w:before="60" w:after="60"/>
        <w:rPr>
          <w:b/>
          <w:sz w:val="24"/>
          <w:szCs w:val="24"/>
        </w:rPr>
      </w:pPr>
      <w:r w:rsidRPr="00F5187C">
        <w:rPr>
          <w:b/>
          <w:sz w:val="24"/>
          <w:szCs w:val="24"/>
        </w:rPr>
        <w:lastRenderedPageBreak/>
        <w:t>Aufgabe</w:t>
      </w:r>
      <w:r w:rsidR="002B5E8B">
        <w:rPr>
          <w:b/>
          <w:sz w:val="24"/>
          <w:szCs w:val="24"/>
        </w:rPr>
        <w:t>n</w:t>
      </w:r>
      <w:r w:rsidRPr="00F5187C">
        <w:rPr>
          <w:b/>
          <w:sz w:val="24"/>
          <w:szCs w:val="24"/>
        </w:rPr>
        <w:t xml:space="preserve"> und Material:</w:t>
      </w:r>
    </w:p>
    <w:p w:rsidR="00C3332D" w:rsidRPr="007D78FD" w:rsidRDefault="000E10E7" w:rsidP="00451218">
      <w:pPr>
        <w:suppressAutoHyphens/>
        <w:spacing w:line="240" w:lineRule="auto"/>
      </w:pPr>
      <w:r>
        <w:br/>
      </w:r>
      <w:r w:rsidR="00AB7F44" w:rsidRPr="007D78FD">
        <w:t xml:space="preserve">In Vergangenheit und Gegenwart entwickelten </w:t>
      </w:r>
      <w:r w:rsidR="00D92902" w:rsidRPr="007D78FD">
        <w:t xml:space="preserve">und entwickeln </w:t>
      </w:r>
      <w:r w:rsidR="00AB7F44" w:rsidRPr="007D78FD">
        <w:t xml:space="preserve">die Menschen immer wieder ganz unterschiedliche Sichtweisen auf historische </w:t>
      </w:r>
      <w:r w:rsidR="009773F1" w:rsidRPr="007D78FD">
        <w:t xml:space="preserve">Personen und deren </w:t>
      </w:r>
      <w:r w:rsidR="00AB7F44" w:rsidRPr="007D78FD">
        <w:t>E</w:t>
      </w:r>
      <w:r w:rsidR="009773F1" w:rsidRPr="007D78FD">
        <w:t>ntscheidungen</w:t>
      </w:r>
      <w:r w:rsidR="00AB7F44" w:rsidRPr="007D78FD">
        <w:t xml:space="preserve">. </w:t>
      </w:r>
      <w:r w:rsidR="00D92902" w:rsidRPr="007D78FD">
        <w:t xml:space="preserve">Das trifft auch auf </w:t>
      </w:r>
      <w:r w:rsidR="00C3332D" w:rsidRPr="007D78FD">
        <w:t>die deutsche Kolonialpolitik des frühen 20. Jahrhunderts zu.</w:t>
      </w:r>
    </w:p>
    <w:p w:rsidR="00D92902" w:rsidRPr="007D78FD" w:rsidRDefault="00C3332D" w:rsidP="00451218">
      <w:pPr>
        <w:suppressAutoHyphens/>
        <w:spacing w:line="240" w:lineRule="auto"/>
        <w:rPr>
          <w:rFonts w:cs="Arial"/>
        </w:rPr>
      </w:pPr>
      <w:r w:rsidRPr="007D78FD">
        <w:t>Nach</w:t>
      </w:r>
      <w:r w:rsidR="00767DA9" w:rsidRPr="007D78FD">
        <w:t xml:space="preserve"> lange andauernder Unterdrückung und Entrechtung brach in </w:t>
      </w:r>
      <w:r w:rsidRPr="007D78FD">
        <w:t xml:space="preserve">der Kolonie Deutsch-Südwestafrika </w:t>
      </w:r>
      <w:r w:rsidR="0022527D" w:rsidRPr="007D78FD">
        <w:t xml:space="preserve">(heute Namibia) im Jahre 1904 ein Aufstand des dort ansässigen Volkes der Herero </w:t>
      </w:r>
      <w:r w:rsidR="00767DA9" w:rsidRPr="007D78FD">
        <w:t>aus. D</w:t>
      </w:r>
      <w:r w:rsidRPr="007D78FD">
        <w:t xml:space="preserve">er Kommandeur der </w:t>
      </w:r>
      <w:r w:rsidR="00686D09" w:rsidRPr="007D78FD">
        <w:t xml:space="preserve">deutschen </w:t>
      </w:r>
      <w:r w:rsidR="0022527D" w:rsidRPr="007D78FD">
        <w:t>„</w:t>
      </w:r>
      <w:r w:rsidRPr="007D78FD">
        <w:t>Schutztruppen</w:t>
      </w:r>
      <w:r w:rsidR="0022527D" w:rsidRPr="007D78FD">
        <w:t>“</w:t>
      </w:r>
      <w:r w:rsidRPr="007D78FD">
        <w:t>, Generalleutnant von Trotha</w:t>
      </w:r>
      <w:r w:rsidR="00767DA9" w:rsidRPr="007D78FD">
        <w:t xml:space="preserve">, </w:t>
      </w:r>
      <w:r w:rsidR="0022527D" w:rsidRPr="007D78FD">
        <w:t xml:space="preserve">formulierte 1904 den </w:t>
      </w:r>
      <w:r w:rsidR="00ED3F19" w:rsidRPr="007D78FD">
        <w:t xml:space="preserve">„Aufruf an das Volk der Herero“. </w:t>
      </w:r>
      <w:r w:rsidR="0022527D" w:rsidRPr="007D78FD">
        <w:t xml:space="preserve">Dieser Aufruf gilt in der Geschichtswissenschaft als Auslöser für den deutschen Kolonialkrieg, den die deutsche Kolonialmacht gegen die Herero und </w:t>
      </w:r>
      <w:proofErr w:type="spellStart"/>
      <w:r w:rsidR="0022527D" w:rsidRPr="007D78FD">
        <w:t>Nama</w:t>
      </w:r>
      <w:proofErr w:type="spellEnd"/>
      <w:r w:rsidR="0022527D" w:rsidRPr="007D78FD">
        <w:t>, ein anderes angestammtes Volk, bis etwa 1908 führte. Trothas Ziel war die völlige Vernichtung der schwarzen Bevölkerung in Deutsch-Südwestafrika.</w:t>
      </w:r>
    </w:p>
    <w:p w:rsidR="00A03EA8" w:rsidRPr="007D78FD" w:rsidRDefault="00A03EA8" w:rsidP="00451218">
      <w:pPr>
        <w:pStyle w:val="KeinLeerraum"/>
        <w:suppressAutoHyphens/>
        <w:ind w:left="708"/>
        <w:rPr>
          <w:rFonts w:ascii="Arial" w:hAnsi="Arial" w:cs="Arial"/>
          <w:lang w:eastAsia="de-DE"/>
        </w:rPr>
      </w:pPr>
    </w:p>
    <w:p w:rsidR="00A03EA8" w:rsidRPr="007D78FD" w:rsidRDefault="00B00742" w:rsidP="00451218">
      <w:pPr>
        <w:pStyle w:val="KeinLeerraum"/>
        <w:numPr>
          <w:ilvl w:val="0"/>
          <w:numId w:val="19"/>
        </w:numPr>
        <w:suppressAutoHyphens/>
        <w:rPr>
          <w:rFonts w:ascii="Arial" w:hAnsi="Arial" w:cs="Arial"/>
          <w:lang w:eastAsia="de-DE"/>
        </w:rPr>
      </w:pPr>
      <w:r w:rsidRPr="007D78FD">
        <w:rPr>
          <w:rFonts w:ascii="Arial" w:hAnsi="Arial" w:cs="Arial"/>
          <w:lang w:eastAsia="de-DE"/>
        </w:rPr>
        <w:t>Stelle gegenüber</w:t>
      </w:r>
      <w:r w:rsidR="00ED3F19" w:rsidRPr="007D78FD">
        <w:rPr>
          <w:rFonts w:ascii="Arial" w:hAnsi="Arial" w:cs="Arial"/>
          <w:lang w:eastAsia="de-DE"/>
        </w:rPr>
        <w:t xml:space="preserve">, </w:t>
      </w:r>
      <w:r w:rsidR="00484057" w:rsidRPr="007D78FD">
        <w:rPr>
          <w:rFonts w:ascii="Arial" w:hAnsi="Arial" w:cs="Arial"/>
          <w:lang w:eastAsia="de-DE"/>
        </w:rPr>
        <w:t xml:space="preserve">zu welchen Handlungen </w:t>
      </w:r>
      <w:r w:rsidR="0022527D" w:rsidRPr="007D78FD">
        <w:rPr>
          <w:rFonts w:ascii="Arial" w:hAnsi="Arial" w:cs="Arial"/>
          <w:lang w:eastAsia="de-DE"/>
        </w:rPr>
        <w:t xml:space="preserve">Lothar von Trotha die </w:t>
      </w:r>
      <w:r w:rsidR="00484057" w:rsidRPr="007D78FD">
        <w:rPr>
          <w:rFonts w:ascii="Arial" w:hAnsi="Arial" w:cs="Arial"/>
          <w:lang w:eastAsia="de-DE"/>
        </w:rPr>
        <w:t>deutsche</w:t>
      </w:r>
      <w:r w:rsidR="0022527D" w:rsidRPr="007D78FD">
        <w:rPr>
          <w:rFonts w:ascii="Arial" w:hAnsi="Arial" w:cs="Arial"/>
          <w:lang w:eastAsia="de-DE"/>
        </w:rPr>
        <w:t>n</w:t>
      </w:r>
      <w:r w:rsidR="00484057" w:rsidRPr="007D78FD">
        <w:rPr>
          <w:rFonts w:ascii="Arial" w:hAnsi="Arial" w:cs="Arial"/>
          <w:lang w:eastAsia="de-DE"/>
        </w:rPr>
        <w:t xml:space="preserve"> </w:t>
      </w:r>
      <w:r w:rsidRPr="007D78FD">
        <w:rPr>
          <w:rFonts w:ascii="Arial" w:hAnsi="Arial" w:cs="Arial"/>
          <w:lang w:eastAsia="de-DE"/>
        </w:rPr>
        <w:t xml:space="preserve">Soldaten </w:t>
      </w:r>
      <w:r w:rsidR="0022527D" w:rsidRPr="007D78FD">
        <w:rPr>
          <w:rFonts w:ascii="Arial" w:hAnsi="Arial" w:cs="Arial"/>
          <w:lang w:eastAsia="de-DE"/>
        </w:rPr>
        <w:t xml:space="preserve">auf der einen Seite </w:t>
      </w:r>
      <w:r w:rsidRPr="007D78FD">
        <w:rPr>
          <w:rFonts w:ascii="Arial" w:hAnsi="Arial" w:cs="Arial"/>
          <w:lang w:eastAsia="de-DE"/>
        </w:rPr>
        <w:t xml:space="preserve">und </w:t>
      </w:r>
      <w:r w:rsidR="0022527D" w:rsidRPr="007D78FD">
        <w:rPr>
          <w:rFonts w:ascii="Arial" w:hAnsi="Arial" w:cs="Arial"/>
          <w:lang w:eastAsia="de-DE"/>
        </w:rPr>
        <w:t xml:space="preserve">„das Volk der </w:t>
      </w:r>
      <w:r w:rsidR="00273627" w:rsidRPr="007D78FD">
        <w:rPr>
          <w:rFonts w:ascii="Arial" w:hAnsi="Arial" w:cs="Arial"/>
          <w:lang w:eastAsia="de-DE"/>
        </w:rPr>
        <w:t>Herero</w:t>
      </w:r>
      <w:r w:rsidR="00484057" w:rsidRPr="007D78FD">
        <w:rPr>
          <w:rFonts w:ascii="Arial" w:hAnsi="Arial" w:cs="Arial"/>
          <w:lang w:eastAsia="de-DE"/>
        </w:rPr>
        <w:t>s</w:t>
      </w:r>
      <w:r w:rsidR="0022527D" w:rsidRPr="007D78FD">
        <w:rPr>
          <w:rFonts w:ascii="Arial" w:hAnsi="Arial" w:cs="Arial"/>
          <w:lang w:eastAsia="de-DE"/>
        </w:rPr>
        <w:t>“</w:t>
      </w:r>
      <w:r w:rsidRPr="007D78FD">
        <w:rPr>
          <w:rFonts w:ascii="Arial" w:hAnsi="Arial" w:cs="Arial"/>
          <w:lang w:eastAsia="de-DE"/>
        </w:rPr>
        <w:t xml:space="preserve"> </w:t>
      </w:r>
      <w:r w:rsidR="0022527D" w:rsidRPr="007D78FD">
        <w:rPr>
          <w:rFonts w:ascii="Arial" w:hAnsi="Arial" w:cs="Arial"/>
          <w:lang w:eastAsia="de-DE"/>
        </w:rPr>
        <w:t xml:space="preserve">auf der anderen Seite </w:t>
      </w:r>
      <w:r w:rsidR="00484057" w:rsidRPr="007D78FD">
        <w:rPr>
          <w:rFonts w:ascii="Arial" w:hAnsi="Arial" w:cs="Arial"/>
          <w:lang w:eastAsia="de-DE"/>
        </w:rPr>
        <w:t>auffordert</w:t>
      </w:r>
      <w:r w:rsidR="00ED3F19" w:rsidRPr="007D78FD">
        <w:rPr>
          <w:rFonts w:ascii="Arial" w:hAnsi="Arial" w:cs="Arial"/>
          <w:lang w:eastAsia="de-DE"/>
        </w:rPr>
        <w:t>.</w:t>
      </w:r>
    </w:p>
    <w:p w:rsidR="00B00742" w:rsidRPr="007D78FD" w:rsidRDefault="00686D09" w:rsidP="00451218">
      <w:pPr>
        <w:pStyle w:val="KeinLeerraum"/>
        <w:numPr>
          <w:ilvl w:val="0"/>
          <w:numId w:val="19"/>
        </w:numPr>
        <w:suppressAutoHyphens/>
        <w:rPr>
          <w:rFonts w:ascii="Arial" w:hAnsi="Arial" w:cs="Arial"/>
          <w:lang w:eastAsia="de-DE"/>
        </w:rPr>
      </w:pPr>
      <w:r w:rsidRPr="007D78FD">
        <w:rPr>
          <w:rFonts w:ascii="Arial" w:hAnsi="Arial" w:cs="Arial"/>
          <w:lang w:eastAsia="de-DE"/>
        </w:rPr>
        <w:t>Diskutiere</w:t>
      </w:r>
      <w:r w:rsidR="00B00742" w:rsidRPr="007D78FD">
        <w:rPr>
          <w:rFonts w:ascii="Arial" w:hAnsi="Arial" w:cs="Arial"/>
          <w:lang w:eastAsia="de-DE"/>
        </w:rPr>
        <w:t xml:space="preserve">, </w:t>
      </w:r>
      <w:r w:rsidR="0022527D" w:rsidRPr="007D78FD">
        <w:rPr>
          <w:rFonts w:ascii="Arial" w:hAnsi="Arial" w:cs="Arial"/>
          <w:lang w:eastAsia="de-DE"/>
        </w:rPr>
        <w:t xml:space="preserve">ob und inwiefern </w:t>
      </w:r>
      <w:r w:rsidR="00B00742" w:rsidRPr="007D78FD">
        <w:rPr>
          <w:rFonts w:ascii="Arial" w:hAnsi="Arial" w:cs="Arial"/>
          <w:lang w:eastAsia="de-DE"/>
        </w:rPr>
        <w:t xml:space="preserve">Handlungsalternativen </w:t>
      </w:r>
      <w:r w:rsidR="0022527D" w:rsidRPr="007D78FD">
        <w:rPr>
          <w:rFonts w:ascii="Arial" w:hAnsi="Arial" w:cs="Arial"/>
          <w:lang w:eastAsia="de-DE"/>
        </w:rPr>
        <w:t>für die beiden handlungstragen</w:t>
      </w:r>
      <w:r w:rsidR="00D7142F" w:rsidRPr="007D78FD">
        <w:rPr>
          <w:rFonts w:ascii="Arial" w:hAnsi="Arial" w:cs="Arial"/>
          <w:lang w:eastAsia="de-DE"/>
        </w:rPr>
        <w:t>d</w:t>
      </w:r>
      <w:r w:rsidR="0022527D" w:rsidRPr="007D78FD">
        <w:rPr>
          <w:rFonts w:ascii="Arial" w:hAnsi="Arial" w:cs="Arial"/>
          <w:lang w:eastAsia="de-DE"/>
        </w:rPr>
        <w:t xml:space="preserve">en Gruppen </w:t>
      </w:r>
      <w:r w:rsidR="00D7142F" w:rsidRPr="007D78FD">
        <w:rPr>
          <w:rFonts w:ascii="Arial" w:hAnsi="Arial" w:cs="Arial"/>
          <w:lang w:eastAsia="de-DE"/>
        </w:rPr>
        <w:t xml:space="preserve">bestanden </w:t>
      </w:r>
      <w:r w:rsidR="0022527D" w:rsidRPr="007D78FD">
        <w:rPr>
          <w:rFonts w:ascii="Arial" w:hAnsi="Arial" w:cs="Arial"/>
          <w:lang w:eastAsia="de-DE"/>
        </w:rPr>
        <w:t>oder nicht</w:t>
      </w:r>
      <w:r w:rsidR="00B00742" w:rsidRPr="007D78FD">
        <w:rPr>
          <w:rFonts w:ascii="Arial" w:hAnsi="Arial" w:cs="Arial"/>
          <w:lang w:eastAsia="de-DE"/>
        </w:rPr>
        <w:t>.</w:t>
      </w:r>
    </w:p>
    <w:p w:rsidR="00A03EA8" w:rsidRPr="007D78FD" w:rsidRDefault="00A03EA8" w:rsidP="00451218">
      <w:pPr>
        <w:pStyle w:val="KeinLeerraum"/>
        <w:suppressAutoHyphens/>
        <w:rPr>
          <w:rFonts w:ascii="Arial" w:hAnsi="Arial" w:cs="Arial"/>
          <w:b/>
          <w:lang w:eastAsia="de-DE"/>
        </w:rPr>
      </w:pPr>
    </w:p>
    <w:p w:rsidR="00C3332D" w:rsidRPr="007D78FD" w:rsidRDefault="00861169" w:rsidP="00451218">
      <w:pPr>
        <w:pStyle w:val="KeinLeerraum"/>
        <w:suppressAutoHyphens/>
        <w:jc w:val="center"/>
        <w:rPr>
          <w:rFonts w:ascii="Arial" w:hAnsi="Arial" w:cs="Arial"/>
          <w:b/>
          <w:lang w:eastAsia="de-DE"/>
        </w:rPr>
      </w:pPr>
      <w:r>
        <w:rPr>
          <w:rFonts w:ascii="Arial" w:hAnsi="Arial" w:cs="Arial"/>
          <w:b/>
          <w:lang w:eastAsia="de-DE"/>
        </w:rPr>
        <w:t>Aufruf an das Volk der Herero</w:t>
      </w:r>
    </w:p>
    <w:p w:rsidR="00D7142F" w:rsidRPr="007D78FD" w:rsidRDefault="00273627" w:rsidP="00451218">
      <w:pPr>
        <w:pStyle w:val="KeinLeerraum"/>
        <w:suppressAutoHyphens/>
        <w:rPr>
          <w:rFonts w:ascii="Arial" w:hAnsi="Arial" w:cs="Arial"/>
          <w:i/>
          <w:lang w:eastAsia="de-DE"/>
        </w:rPr>
      </w:pPr>
      <w:r w:rsidRPr="007D78FD">
        <w:rPr>
          <w:rFonts w:ascii="Arial" w:hAnsi="Arial" w:cs="Arial"/>
          <w:i/>
          <w:lang w:eastAsia="de-DE"/>
        </w:rPr>
        <w:t xml:space="preserve">Am 2. Oktober 1904 schrieb der Kommandeur der deutschen Schutztruppe an seine Untergebenen und an den Anführer der Hereros, </w:t>
      </w:r>
      <w:proofErr w:type="spellStart"/>
      <w:r w:rsidRPr="007D78FD">
        <w:rPr>
          <w:rFonts w:ascii="Arial" w:hAnsi="Arial" w:cs="Arial"/>
          <w:i/>
          <w:lang w:eastAsia="de-DE"/>
        </w:rPr>
        <w:t>Osombo-Windeme</w:t>
      </w:r>
      <w:proofErr w:type="spellEnd"/>
    </w:p>
    <w:p w:rsidR="00C3332D" w:rsidRPr="007D78FD" w:rsidRDefault="00273627" w:rsidP="00451218">
      <w:pPr>
        <w:pStyle w:val="KeinLeerraum"/>
        <w:suppressAutoHyphens/>
        <w:rPr>
          <w:rFonts w:ascii="Arial" w:hAnsi="Arial" w:cs="Arial"/>
          <w:i/>
          <w:lang w:eastAsia="de-DE"/>
        </w:rPr>
      </w:pPr>
      <w:r w:rsidRPr="007D78FD">
        <w:rPr>
          <w:rFonts w:ascii="Arial" w:hAnsi="Arial" w:cs="Arial"/>
          <w:i/>
          <w:lang w:eastAsia="de-DE"/>
        </w:rPr>
        <w:t>(Die Rechtschreibung ist modernisiert, nicht aber die Wortwahl.):</w:t>
      </w:r>
    </w:p>
    <w:p w:rsidR="00861169" w:rsidRDefault="00861169" w:rsidP="00451218">
      <w:pPr>
        <w:pStyle w:val="KeinLeerraum"/>
        <w:suppressAutoHyphens/>
        <w:rPr>
          <w:rFonts w:ascii="Arial" w:eastAsia="Times New Roman" w:hAnsi="Arial" w:cs="Arial"/>
          <w:lang w:eastAsia="de-DE"/>
        </w:rPr>
      </w:pPr>
    </w:p>
    <w:p w:rsidR="00C3332D" w:rsidRPr="007D78FD" w:rsidRDefault="00C3332D" w:rsidP="00451218">
      <w:pPr>
        <w:pStyle w:val="KeinLeerraum"/>
        <w:suppressAutoHyphens/>
        <w:rPr>
          <w:rFonts w:ascii="Arial" w:eastAsia="Times New Roman" w:hAnsi="Arial" w:cs="Arial"/>
          <w:lang w:eastAsia="de-DE"/>
        </w:rPr>
      </w:pPr>
      <w:r w:rsidRPr="007D78FD">
        <w:rPr>
          <w:rFonts w:ascii="Arial" w:eastAsia="Times New Roman" w:hAnsi="Arial" w:cs="Arial"/>
          <w:lang w:eastAsia="de-DE"/>
        </w:rPr>
        <w:t>Ich, der große General der deutschen Soldaten, sende diesen Brief an das Volk der Herero. Die Hereros sind nicht mehr deutsche Untertanen. Sie haben gemordet und gestohlen, haben verwundeten Soldaten Ohren und Nasen und andere Körperteile abgeschnitten, und wollen jetzt aus Feigheit nicht mehr kämpfen. Ich sage dem Volk: Jeder der einen der Kapitäne</w:t>
      </w:r>
      <w:r w:rsidR="00ED3F19" w:rsidRPr="007D78FD">
        <w:rPr>
          <w:rStyle w:val="Funotenzeichen"/>
          <w:rFonts w:ascii="Arial" w:eastAsia="Times New Roman" w:hAnsi="Arial" w:cs="Arial"/>
          <w:lang w:eastAsia="de-DE"/>
        </w:rPr>
        <w:footnoteReference w:id="1"/>
      </w:r>
      <w:r w:rsidRPr="007D78FD">
        <w:rPr>
          <w:rFonts w:ascii="Arial" w:eastAsia="Times New Roman" w:hAnsi="Arial" w:cs="Arial"/>
          <w:lang w:eastAsia="de-DE"/>
        </w:rPr>
        <w:t xml:space="preserve"> an eine meiner Stationen als Gefangenen abliefert, erhält 1000 Mark, wer Samuel </w:t>
      </w:r>
      <w:proofErr w:type="spellStart"/>
      <w:r w:rsidRPr="007D78FD">
        <w:rPr>
          <w:rFonts w:ascii="Arial" w:eastAsia="Times New Roman" w:hAnsi="Arial" w:cs="Arial"/>
          <w:lang w:eastAsia="de-DE"/>
        </w:rPr>
        <w:t>Maharero</w:t>
      </w:r>
      <w:proofErr w:type="spellEnd"/>
      <w:r w:rsidRPr="007D78FD">
        <w:rPr>
          <w:rFonts w:ascii="Arial" w:eastAsia="Times New Roman" w:hAnsi="Arial" w:cs="Arial"/>
          <w:lang w:eastAsia="de-DE"/>
        </w:rPr>
        <w:t xml:space="preserve"> bringt, erhält 5000 Mark</w:t>
      </w:r>
      <w:r w:rsidR="00ED3F19" w:rsidRPr="007D78FD">
        <w:rPr>
          <w:rStyle w:val="Funotenzeichen"/>
          <w:rFonts w:ascii="Arial" w:eastAsia="Times New Roman" w:hAnsi="Arial" w:cs="Arial"/>
          <w:lang w:eastAsia="de-DE"/>
        </w:rPr>
        <w:footnoteReference w:id="2"/>
      </w:r>
      <w:r w:rsidRPr="007D78FD">
        <w:rPr>
          <w:rFonts w:ascii="Arial" w:eastAsia="Times New Roman" w:hAnsi="Arial" w:cs="Arial"/>
          <w:lang w:eastAsia="de-DE"/>
        </w:rPr>
        <w:t>. Das Volk der Herero mu</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jedoch das Land verlassen.</w:t>
      </w:r>
      <w:r w:rsidRPr="007D78FD">
        <w:rPr>
          <w:rFonts w:ascii="Arial" w:eastAsia="Times New Roman" w:hAnsi="Arial" w:cs="Arial"/>
          <w:lang w:eastAsia="de-DE"/>
        </w:rPr>
        <w:br/>
        <w:t xml:space="preserve">Wenn das Volk dies nicht tut, so werde ich es mit dem </w:t>
      </w:r>
      <w:proofErr w:type="spellStart"/>
      <w:r w:rsidRPr="007D78FD">
        <w:rPr>
          <w:rFonts w:ascii="Arial" w:eastAsia="Times New Roman" w:hAnsi="Arial" w:cs="Arial"/>
          <w:lang w:eastAsia="de-DE"/>
        </w:rPr>
        <w:t>Groot</w:t>
      </w:r>
      <w:proofErr w:type="spellEnd"/>
      <w:r w:rsidRPr="007D78FD">
        <w:rPr>
          <w:rFonts w:ascii="Arial" w:eastAsia="Times New Roman" w:hAnsi="Arial" w:cs="Arial"/>
          <w:lang w:eastAsia="de-DE"/>
        </w:rPr>
        <w:t xml:space="preserve"> Rohr</w:t>
      </w:r>
      <w:r w:rsidR="00ED3F19" w:rsidRPr="007D78FD">
        <w:rPr>
          <w:rStyle w:val="Funotenzeichen"/>
          <w:rFonts w:ascii="Arial" w:eastAsia="Times New Roman" w:hAnsi="Arial" w:cs="Arial"/>
          <w:lang w:eastAsia="de-DE"/>
        </w:rPr>
        <w:footnoteReference w:id="3"/>
      </w:r>
      <w:r w:rsidRPr="007D78FD">
        <w:rPr>
          <w:rFonts w:ascii="Arial" w:eastAsia="Times New Roman" w:hAnsi="Arial" w:cs="Arial"/>
          <w:lang w:eastAsia="de-DE"/>
        </w:rPr>
        <w:t xml:space="preserve"> dazu zwingen. Innerhalb der </w:t>
      </w:r>
      <w:r w:rsidR="00686D09" w:rsidRPr="007D78FD">
        <w:rPr>
          <w:rFonts w:ascii="Arial" w:eastAsia="Times New Roman" w:hAnsi="Arial" w:cs="Arial"/>
          <w:lang w:eastAsia="de-DE"/>
        </w:rPr>
        <w:t>d</w:t>
      </w:r>
      <w:r w:rsidRPr="007D78FD">
        <w:rPr>
          <w:rFonts w:ascii="Arial" w:eastAsia="Times New Roman" w:hAnsi="Arial" w:cs="Arial"/>
          <w:lang w:eastAsia="de-DE"/>
        </w:rPr>
        <w:t>eutschen Grenze wird jeder Herero mit und ohne Gewehr, mit oder ohne Vieh erschossen, ich nehme keine Weiber und Kinder mehr auf, treibe sie zu ihrem Volke zurück oder lasse auf sie schießen. Dies sind meine Worte an das Volk der Hereros.</w:t>
      </w:r>
      <w:r w:rsidRPr="007D78FD">
        <w:rPr>
          <w:rFonts w:ascii="Arial" w:eastAsia="Times New Roman" w:hAnsi="Arial" w:cs="Arial"/>
          <w:lang w:eastAsia="de-DE"/>
        </w:rPr>
        <w:br/>
        <w:t>Der große General des mächtigen deutschen Kaisers.</w:t>
      </w:r>
    </w:p>
    <w:p w:rsidR="00C3332D" w:rsidRPr="007D78FD" w:rsidRDefault="00C3332D" w:rsidP="00451218">
      <w:pPr>
        <w:pStyle w:val="KeinLeerraum"/>
        <w:suppressAutoHyphens/>
        <w:rPr>
          <w:rFonts w:ascii="Arial" w:eastAsia="Times New Roman" w:hAnsi="Arial" w:cs="Arial"/>
          <w:lang w:eastAsia="de-DE"/>
        </w:rPr>
      </w:pPr>
      <w:r w:rsidRPr="007D78FD">
        <w:rPr>
          <w:rFonts w:ascii="Arial" w:eastAsia="Times New Roman" w:hAnsi="Arial" w:cs="Arial"/>
          <w:lang w:eastAsia="de-DE"/>
        </w:rPr>
        <w:t>Dieser Erla</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ist bei den Appells der Truppen mitzuteilen mit dem Hinzufügen, da</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auch der Truppe, die einen der Kapitäne fängt, die entsprechende Belohnung zuteil wird und das Schießen auf Weiber und Kinder so zu verstehen ist, da</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über sie </w:t>
      </w:r>
      <w:proofErr w:type="spellStart"/>
      <w:r w:rsidRPr="007D78FD">
        <w:rPr>
          <w:rFonts w:ascii="Arial" w:eastAsia="Times New Roman" w:hAnsi="Arial" w:cs="Arial"/>
          <w:lang w:eastAsia="de-DE"/>
        </w:rPr>
        <w:t>hinweggeschossen</w:t>
      </w:r>
      <w:proofErr w:type="spellEnd"/>
      <w:r w:rsidRPr="007D78FD">
        <w:rPr>
          <w:rFonts w:ascii="Arial" w:eastAsia="Times New Roman" w:hAnsi="Arial" w:cs="Arial"/>
          <w:lang w:eastAsia="de-DE"/>
        </w:rPr>
        <w:t xml:space="preserve"> wird, um sie zum Laufen zu zwingen. Ich nehme mit Bestimmtheit an, da</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dieser Erla</w:t>
      </w:r>
      <w:r w:rsidR="00273627" w:rsidRPr="007D78FD">
        <w:rPr>
          <w:rFonts w:ascii="Arial" w:eastAsia="Times New Roman" w:hAnsi="Arial" w:cs="Arial"/>
          <w:lang w:eastAsia="de-DE"/>
        </w:rPr>
        <w:t>ss</w:t>
      </w:r>
      <w:r w:rsidRPr="007D78FD">
        <w:rPr>
          <w:rFonts w:ascii="Arial" w:eastAsia="Times New Roman" w:hAnsi="Arial" w:cs="Arial"/>
          <w:lang w:eastAsia="de-DE"/>
        </w:rPr>
        <w:t xml:space="preserve"> dazu führen wird, keine männlichen Gefangenen mehr zu machen, aber nicht zu Grausamkeiten gegen Weiber und Kinder ausartet. Diese werden schon fortlaufen, wenn zweimal über sie </w:t>
      </w:r>
      <w:proofErr w:type="spellStart"/>
      <w:r w:rsidRPr="007D78FD">
        <w:rPr>
          <w:rFonts w:ascii="Arial" w:eastAsia="Times New Roman" w:hAnsi="Arial" w:cs="Arial"/>
          <w:lang w:eastAsia="de-DE"/>
        </w:rPr>
        <w:t>hinweggeschossen</w:t>
      </w:r>
      <w:proofErr w:type="spellEnd"/>
      <w:r w:rsidRPr="007D78FD">
        <w:rPr>
          <w:rFonts w:ascii="Arial" w:eastAsia="Times New Roman" w:hAnsi="Arial" w:cs="Arial"/>
          <w:lang w:eastAsia="de-DE"/>
        </w:rPr>
        <w:t xml:space="preserve"> wird. Die Truppe wird sich des guten Rufes des </w:t>
      </w:r>
      <w:r w:rsidR="00686D09" w:rsidRPr="007D78FD">
        <w:rPr>
          <w:rFonts w:ascii="Arial" w:eastAsia="Times New Roman" w:hAnsi="Arial" w:cs="Arial"/>
          <w:lang w:eastAsia="de-DE"/>
        </w:rPr>
        <w:t>d</w:t>
      </w:r>
      <w:r w:rsidRPr="007D78FD">
        <w:rPr>
          <w:rFonts w:ascii="Arial" w:eastAsia="Times New Roman" w:hAnsi="Arial" w:cs="Arial"/>
          <w:lang w:eastAsia="de-DE"/>
        </w:rPr>
        <w:t>eutschen Soldaten bewu</w:t>
      </w:r>
      <w:r w:rsidR="00273627" w:rsidRPr="007D78FD">
        <w:rPr>
          <w:rFonts w:ascii="Arial" w:eastAsia="Times New Roman" w:hAnsi="Arial" w:cs="Arial"/>
          <w:lang w:eastAsia="de-DE"/>
        </w:rPr>
        <w:t>ss</w:t>
      </w:r>
      <w:r w:rsidRPr="007D78FD">
        <w:rPr>
          <w:rFonts w:ascii="Arial" w:eastAsia="Times New Roman" w:hAnsi="Arial" w:cs="Arial"/>
          <w:lang w:eastAsia="de-DE"/>
        </w:rPr>
        <w:t>t bleiben.</w:t>
      </w:r>
    </w:p>
    <w:p w:rsidR="00C3332D" w:rsidRPr="007D78FD" w:rsidRDefault="00861169" w:rsidP="007D78FD">
      <w:pPr>
        <w:pStyle w:val="KeinLeerraum"/>
        <w:suppressAutoHyphens/>
        <w:rPr>
          <w:rFonts w:ascii="Arial" w:eastAsia="Times New Roman" w:hAnsi="Arial" w:cs="Arial"/>
          <w:lang w:eastAsia="de-DE"/>
        </w:rPr>
      </w:pPr>
      <w:r>
        <w:rPr>
          <w:rFonts w:ascii="Arial" w:eastAsia="Times New Roman" w:hAnsi="Arial" w:cs="Arial"/>
          <w:lang w:eastAsia="de-DE"/>
        </w:rPr>
        <w:t>D</w:t>
      </w:r>
      <w:r w:rsidR="00C3332D" w:rsidRPr="007D78FD">
        <w:rPr>
          <w:rFonts w:ascii="Arial" w:eastAsia="Times New Roman" w:hAnsi="Arial" w:cs="Arial"/>
          <w:lang w:eastAsia="de-DE"/>
        </w:rPr>
        <w:t>er Kommandeur, gez. v. Trotha, Generalleutnant</w:t>
      </w:r>
    </w:p>
    <w:p w:rsidR="00451218" w:rsidRPr="00ED3F19" w:rsidRDefault="00451218" w:rsidP="00451218">
      <w:pPr>
        <w:suppressAutoHyphens/>
        <w:rPr>
          <w:rFonts w:cs="Arial"/>
        </w:rPr>
      </w:pPr>
      <w:r w:rsidRPr="00F66D5A">
        <w:rPr>
          <w:i/>
          <w:noProof/>
          <w:sz w:val="20"/>
          <w:szCs w:val="20"/>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w:t>
      </w:r>
      <w:r w:rsidRPr="00EE1EB1">
        <w:t>LISUM</w:t>
      </w:r>
      <w:r>
        <w:t xml:space="preserve"> 2017</w:t>
      </w:r>
    </w:p>
    <w:p w:rsidR="00451218" w:rsidRPr="00451218" w:rsidRDefault="00451218" w:rsidP="00451218">
      <w:pPr>
        <w:suppressAutoHyphens/>
        <w:rPr>
          <w:rFonts w:cs="Arial"/>
          <w:sz w:val="16"/>
          <w:szCs w:val="16"/>
        </w:rPr>
      </w:pPr>
      <w:r w:rsidRPr="00451218">
        <w:rPr>
          <w:rFonts w:cs="Arial"/>
          <w:sz w:val="16"/>
          <w:szCs w:val="16"/>
          <w:lang w:eastAsia="de-DE"/>
        </w:rPr>
        <w:t>„Aufruf an das Volk der Herero</w:t>
      </w:r>
      <w:r>
        <w:rPr>
          <w:rFonts w:cs="Arial"/>
          <w:sz w:val="16"/>
          <w:szCs w:val="16"/>
          <w:lang w:eastAsia="de-DE"/>
        </w:rPr>
        <w:t>“</w:t>
      </w:r>
      <w:r w:rsidRPr="00451218">
        <w:rPr>
          <w:rFonts w:eastAsia="Times New Roman" w:cs="Arial"/>
          <w:sz w:val="16"/>
          <w:szCs w:val="16"/>
          <w:lang w:eastAsia="de-DE"/>
        </w:rPr>
        <w:t xml:space="preserve">: </w:t>
      </w:r>
      <w:hyperlink r:id="rId11" w:history="1">
        <w:r w:rsidRPr="00451218">
          <w:rPr>
            <w:rStyle w:val="Hyperlink"/>
            <w:rFonts w:eastAsia="Times New Roman" w:cs="Arial"/>
            <w:color w:val="auto"/>
            <w:sz w:val="16"/>
            <w:szCs w:val="16"/>
            <w:u w:val="none"/>
            <w:lang w:eastAsia="de-DE"/>
          </w:rPr>
          <w:t>http://de.wikipedia.org/wiki/Lothar_von_Trotha</w:t>
        </w:r>
      </w:hyperlink>
      <w:r w:rsidRPr="00451218">
        <w:rPr>
          <w:rFonts w:eastAsia="Times New Roman" w:cs="Arial"/>
          <w:sz w:val="16"/>
          <w:szCs w:val="16"/>
          <w:lang w:eastAsia="de-DE"/>
        </w:rPr>
        <w:t>, eingesehen am 29.12.2014</w:t>
      </w:r>
    </w:p>
    <w:p w:rsidR="00BA7994" w:rsidRDefault="00BA7994" w:rsidP="007D78FD">
      <w:pPr>
        <w:suppressAutoHyphens/>
        <w:rPr>
          <w:b/>
          <w:sz w:val="24"/>
          <w:szCs w:val="24"/>
        </w:rPr>
      </w:pPr>
      <w:r w:rsidRPr="00BA7994">
        <w:rPr>
          <w:b/>
          <w:sz w:val="24"/>
          <w:szCs w:val="24"/>
        </w:rPr>
        <w:lastRenderedPageBreak/>
        <w:t>Erwartungshorizont:</w:t>
      </w:r>
    </w:p>
    <w:p w:rsidR="002B5E8B" w:rsidRDefault="002B5E8B" w:rsidP="007D78FD">
      <w:pPr>
        <w:suppressAutoHyphens/>
        <w:rPr>
          <w:b/>
          <w:sz w:val="24"/>
          <w:szCs w:val="24"/>
        </w:rPr>
      </w:pPr>
    </w:p>
    <w:p w:rsidR="00767DA9" w:rsidRDefault="00767DA9" w:rsidP="007D78FD">
      <w:pPr>
        <w:suppressAutoHyphens/>
      </w:pPr>
      <w:r>
        <w:t>Das Ergebnis der Quellenauswertung kann die in der folgenden Tabelle aufgeführten Aussagen umfassen:</w:t>
      </w:r>
    </w:p>
    <w:p w:rsidR="00456E94" w:rsidRPr="00BA7994" w:rsidRDefault="00456E94" w:rsidP="007D78FD">
      <w:pPr>
        <w:suppressAutoHyphens/>
        <w:rPr>
          <w:b/>
          <w:sz w:val="24"/>
          <w:szCs w:val="24"/>
        </w:rPr>
      </w:pPr>
    </w:p>
    <w:tbl>
      <w:tblPr>
        <w:tblStyle w:val="Tabellengitternetz"/>
        <w:tblW w:w="9354" w:type="dxa"/>
        <w:tblLook w:val="04A0"/>
      </w:tblPr>
      <w:tblGrid>
        <w:gridCol w:w="2588"/>
        <w:gridCol w:w="3383"/>
        <w:gridCol w:w="3383"/>
      </w:tblGrid>
      <w:tr w:rsidR="00D7142F" w:rsidTr="003676F2">
        <w:tc>
          <w:tcPr>
            <w:tcW w:w="1951" w:type="dxa"/>
          </w:tcPr>
          <w:p w:rsidR="001D7D17" w:rsidRDefault="001D7D17" w:rsidP="007D78FD">
            <w:pPr>
              <w:suppressAutoHyphens/>
            </w:pPr>
          </w:p>
        </w:tc>
        <w:tc>
          <w:tcPr>
            <w:tcW w:w="3701" w:type="dxa"/>
          </w:tcPr>
          <w:p w:rsidR="001D7D17" w:rsidRDefault="001D7D17" w:rsidP="007D78FD">
            <w:pPr>
              <w:suppressAutoHyphens/>
            </w:pPr>
            <w:r>
              <w:t>D</w:t>
            </w:r>
            <w:r w:rsidR="00D7142F">
              <w:t>ie de</w:t>
            </w:r>
            <w:r>
              <w:t>utsche</w:t>
            </w:r>
            <w:r w:rsidR="00D7142F">
              <w:t>n</w:t>
            </w:r>
            <w:r>
              <w:t xml:space="preserve"> Soldaten</w:t>
            </w:r>
          </w:p>
        </w:tc>
        <w:tc>
          <w:tcPr>
            <w:tcW w:w="3702" w:type="dxa"/>
          </w:tcPr>
          <w:p w:rsidR="001D7D17" w:rsidRDefault="00D7142F" w:rsidP="007D78FD">
            <w:pPr>
              <w:suppressAutoHyphens/>
            </w:pPr>
            <w:r>
              <w:t xml:space="preserve">Die </w:t>
            </w:r>
            <w:r w:rsidR="00B00742">
              <w:t xml:space="preserve">Mitglieder des </w:t>
            </w:r>
            <w:r>
              <w:t>Volkes d</w:t>
            </w:r>
            <w:r w:rsidR="00B00742">
              <w:t xml:space="preserve">er </w:t>
            </w:r>
            <w:r w:rsidR="001D7D17">
              <w:t>Hereros</w:t>
            </w:r>
          </w:p>
        </w:tc>
      </w:tr>
      <w:tr w:rsidR="00D7142F" w:rsidTr="003676F2">
        <w:tc>
          <w:tcPr>
            <w:tcW w:w="1951" w:type="dxa"/>
          </w:tcPr>
          <w:p w:rsidR="001D7D17" w:rsidRPr="00D7142F" w:rsidRDefault="00D7142F" w:rsidP="007D78FD">
            <w:pPr>
              <w:suppressAutoHyphens/>
              <w:rPr>
                <w:b/>
              </w:rPr>
            </w:pPr>
            <w:r w:rsidRPr="00D7142F">
              <w:rPr>
                <w:b/>
              </w:rPr>
              <w:t>Zu w</w:t>
            </w:r>
            <w:r w:rsidR="001D7D17" w:rsidRPr="00D7142F">
              <w:rPr>
                <w:b/>
              </w:rPr>
              <w:t>elche</w:t>
            </w:r>
            <w:r>
              <w:rPr>
                <w:b/>
              </w:rPr>
              <w:t>n</w:t>
            </w:r>
            <w:r w:rsidR="001D7D17" w:rsidRPr="00D7142F">
              <w:rPr>
                <w:b/>
              </w:rPr>
              <w:t xml:space="preserve"> Handlungen </w:t>
            </w:r>
            <w:r w:rsidRPr="00D7142F">
              <w:rPr>
                <w:b/>
              </w:rPr>
              <w:t>fordert Lothar von Trotha auf</w:t>
            </w:r>
            <w:r w:rsidR="001D7D17" w:rsidRPr="00D7142F">
              <w:rPr>
                <w:b/>
              </w:rPr>
              <w:t>?</w:t>
            </w:r>
          </w:p>
        </w:tc>
        <w:tc>
          <w:tcPr>
            <w:tcW w:w="3701" w:type="dxa"/>
          </w:tcPr>
          <w:p w:rsidR="001D7D17" w:rsidRDefault="00B00742" w:rsidP="007D78FD">
            <w:pPr>
              <w:pStyle w:val="Listenabsatz"/>
              <w:numPr>
                <w:ilvl w:val="0"/>
                <w:numId w:val="17"/>
              </w:numPr>
              <w:suppressAutoHyphens/>
            </w:pPr>
            <w:r>
              <w:t>s</w:t>
            </w:r>
            <w:r w:rsidR="001D7D17">
              <w:t xml:space="preserve">ollen männliche Hereros erschießen, </w:t>
            </w:r>
          </w:p>
          <w:p w:rsidR="001D7D17" w:rsidRDefault="00B00742" w:rsidP="007D78FD">
            <w:pPr>
              <w:pStyle w:val="Listenabsatz"/>
              <w:numPr>
                <w:ilvl w:val="0"/>
                <w:numId w:val="17"/>
              </w:numPr>
              <w:suppressAutoHyphens/>
            </w:pPr>
            <w:r>
              <w:t>s</w:t>
            </w:r>
            <w:r w:rsidR="001D7D17">
              <w:t>ollen Frauen und Kinder der Hereros durch Schüsse über den Kopf vertreiben,</w:t>
            </w:r>
          </w:p>
          <w:p w:rsidR="00B00742" w:rsidRDefault="00B00742" w:rsidP="007D78FD">
            <w:pPr>
              <w:pStyle w:val="Listenabsatz"/>
              <w:numPr>
                <w:ilvl w:val="0"/>
                <w:numId w:val="17"/>
              </w:numPr>
              <w:suppressAutoHyphens/>
            </w:pPr>
            <w:r>
              <w:t xml:space="preserve">zahlen bei Übergabe eines Anführers der Hereros eine Belohnung, </w:t>
            </w:r>
          </w:p>
          <w:p w:rsidR="00D7142F" w:rsidRDefault="00D7142F" w:rsidP="007D78FD">
            <w:pPr>
              <w:pStyle w:val="Listenabsatz"/>
              <w:numPr>
                <w:ilvl w:val="0"/>
                <w:numId w:val="17"/>
              </w:numPr>
              <w:suppressAutoHyphens/>
            </w:pPr>
            <w:r>
              <w:t>sollen selbst gegen eine Belohnung nach Anführern suchen</w:t>
            </w:r>
            <w:r w:rsidR="00861169">
              <w:t>,</w:t>
            </w:r>
          </w:p>
          <w:p w:rsidR="00B00742" w:rsidRDefault="00B00742" w:rsidP="00861169">
            <w:pPr>
              <w:pStyle w:val="Listenabsatz"/>
              <w:numPr>
                <w:ilvl w:val="0"/>
                <w:numId w:val="17"/>
              </w:numPr>
              <w:suppressAutoHyphens/>
            </w:pPr>
            <w:r>
              <w:t xml:space="preserve">sollen den </w:t>
            </w:r>
            <w:r w:rsidR="00861169">
              <w:t xml:space="preserve">vermeintlich </w:t>
            </w:r>
            <w:r>
              <w:t xml:space="preserve">guten Ruf der </w:t>
            </w:r>
            <w:r w:rsidR="00861169">
              <w:t>„</w:t>
            </w:r>
            <w:r>
              <w:t>Schutztruppe</w:t>
            </w:r>
            <w:r w:rsidR="00861169">
              <w:t>“</w:t>
            </w:r>
            <w:r>
              <w:t xml:space="preserve"> wahren</w:t>
            </w:r>
            <w:r w:rsidR="00861169">
              <w:t>.</w:t>
            </w:r>
          </w:p>
        </w:tc>
        <w:tc>
          <w:tcPr>
            <w:tcW w:w="3702" w:type="dxa"/>
          </w:tcPr>
          <w:p w:rsidR="00D7142F" w:rsidRDefault="00B00742" w:rsidP="007D78FD">
            <w:pPr>
              <w:pStyle w:val="Listenabsatz"/>
              <w:numPr>
                <w:ilvl w:val="0"/>
                <w:numId w:val="18"/>
              </w:numPr>
              <w:suppressAutoHyphens/>
            </w:pPr>
            <w:r>
              <w:t>s</w:t>
            </w:r>
            <w:r w:rsidR="001D7D17">
              <w:t xml:space="preserve">ollen ihre Anführer </w:t>
            </w:r>
            <w:r w:rsidR="00D7142F">
              <w:t>verraten und/oder</w:t>
            </w:r>
          </w:p>
          <w:p w:rsidR="001D7D17" w:rsidRDefault="00D7142F" w:rsidP="007D78FD">
            <w:pPr>
              <w:pStyle w:val="Listenabsatz"/>
              <w:numPr>
                <w:ilvl w:val="0"/>
                <w:numId w:val="18"/>
              </w:numPr>
              <w:suppressAutoHyphens/>
            </w:pPr>
            <w:r>
              <w:t xml:space="preserve">ihre Anführer </w:t>
            </w:r>
            <w:r w:rsidR="001D7D17">
              <w:t xml:space="preserve">gefangen nehmen und an deutschen Stationen der </w:t>
            </w:r>
            <w:r w:rsidR="00A51A0E">
              <w:t xml:space="preserve">sogenannten </w:t>
            </w:r>
            <w:r w:rsidR="001D7D17">
              <w:t>Schutztruppe übergeben</w:t>
            </w:r>
            <w:r w:rsidR="00B00742">
              <w:t>,</w:t>
            </w:r>
          </w:p>
          <w:p w:rsidR="001D7D17" w:rsidRDefault="00B00742" w:rsidP="007D78FD">
            <w:pPr>
              <w:pStyle w:val="Listenabsatz"/>
              <w:numPr>
                <w:ilvl w:val="0"/>
                <w:numId w:val="18"/>
              </w:numPr>
              <w:suppressAutoHyphens/>
            </w:pPr>
            <w:r>
              <w:t xml:space="preserve">sollen </w:t>
            </w:r>
            <w:r w:rsidR="001D7D17">
              <w:t>ihr Land ver</w:t>
            </w:r>
            <w:r>
              <w:t>lass</w:t>
            </w:r>
            <w:r w:rsidR="001D7D17">
              <w:t>en</w:t>
            </w:r>
            <w:r>
              <w:t>,</w:t>
            </w:r>
          </w:p>
          <w:p w:rsidR="003676F2" w:rsidRDefault="003676F2" w:rsidP="007D78FD">
            <w:pPr>
              <w:pStyle w:val="Listenabsatz"/>
              <w:numPr>
                <w:ilvl w:val="0"/>
                <w:numId w:val="18"/>
              </w:numPr>
              <w:suppressAutoHyphens/>
            </w:pPr>
            <w:r>
              <w:t>können sich ergeben</w:t>
            </w:r>
            <w:r w:rsidR="00861169">
              <w:t>.</w:t>
            </w:r>
          </w:p>
          <w:p w:rsidR="00B00742" w:rsidRDefault="00B00742" w:rsidP="007D78FD">
            <w:pPr>
              <w:suppressAutoHyphens/>
            </w:pPr>
          </w:p>
        </w:tc>
      </w:tr>
      <w:tr w:rsidR="00D7142F" w:rsidTr="003676F2">
        <w:tc>
          <w:tcPr>
            <w:tcW w:w="1951" w:type="dxa"/>
          </w:tcPr>
          <w:p w:rsidR="001D7D17" w:rsidRPr="00D7142F" w:rsidRDefault="001D7D17" w:rsidP="007D78FD">
            <w:pPr>
              <w:suppressAutoHyphens/>
              <w:rPr>
                <w:b/>
              </w:rPr>
            </w:pPr>
            <w:r w:rsidRPr="00D7142F">
              <w:rPr>
                <w:b/>
              </w:rPr>
              <w:t xml:space="preserve">Welche </w:t>
            </w:r>
            <w:r w:rsidR="00D7142F" w:rsidRPr="00D7142F">
              <w:rPr>
                <w:b/>
              </w:rPr>
              <w:t>Handlungsa</w:t>
            </w:r>
            <w:r w:rsidRPr="00D7142F">
              <w:rPr>
                <w:b/>
              </w:rPr>
              <w:t>lternativen gibt es?</w:t>
            </w:r>
          </w:p>
          <w:p w:rsidR="00D7142F" w:rsidRPr="00D7142F" w:rsidRDefault="00D7142F" w:rsidP="007D78FD">
            <w:pPr>
              <w:suppressAutoHyphens/>
              <w:rPr>
                <w:b/>
              </w:rPr>
            </w:pPr>
          </w:p>
          <w:p w:rsidR="00D7142F" w:rsidRPr="00D7142F" w:rsidRDefault="00D7142F" w:rsidP="007D78FD">
            <w:pPr>
              <w:suppressAutoHyphens/>
              <w:rPr>
                <w:b/>
                <w:i/>
              </w:rPr>
            </w:pPr>
            <w:r w:rsidRPr="00D7142F">
              <w:rPr>
                <w:b/>
                <w:i/>
              </w:rPr>
              <w:t>Hier geht es nicht um Spekulationen, sondern darum, Handlungsoptionen zeitspezifisch zu diskutieren.</w:t>
            </w:r>
          </w:p>
        </w:tc>
        <w:tc>
          <w:tcPr>
            <w:tcW w:w="3701" w:type="dxa"/>
          </w:tcPr>
          <w:p w:rsidR="00D7142F" w:rsidRDefault="00D7142F" w:rsidP="007D78FD">
            <w:pPr>
              <w:pStyle w:val="Listenabsatz"/>
              <w:numPr>
                <w:ilvl w:val="0"/>
                <w:numId w:val="17"/>
              </w:numPr>
              <w:suppressAutoHyphens/>
            </w:pPr>
            <w:r>
              <w:t xml:space="preserve">Es gab keine Handlungsalternativen für Soldaten, weil sie festen Befehlsstrukturen unterstanden und zum dienstlichen </w:t>
            </w:r>
            <w:r w:rsidR="00861169">
              <w:t>G</w:t>
            </w:r>
            <w:r>
              <w:t>ehorsam verpflichtet waren.</w:t>
            </w:r>
          </w:p>
          <w:p w:rsidR="006C2F2D" w:rsidRDefault="006C2F2D" w:rsidP="007D78FD">
            <w:pPr>
              <w:suppressAutoHyphens/>
              <w:ind w:left="360"/>
            </w:pPr>
          </w:p>
          <w:p w:rsidR="00B00742" w:rsidRPr="006C2F2D" w:rsidRDefault="00D7142F" w:rsidP="00861169">
            <w:pPr>
              <w:suppressAutoHyphens/>
              <w:rPr>
                <w:b/>
                <w:i/>
              </w:rPr>
            </w:pPr>
            <w:r w:rsidRPr="006C2F2D">
              <w:rPr>
                <w:b/>
                <w:i/>
              </w:rPr>
              <w:t>U</w:t>
            </w:r>
            <w:r w:rsidR="00861169">
              <w:rPr>
                <w:b/>
                <w:i/>
              </w:rPr>
              <w:t xml:space="preserve">nter </w:t>
            </w:r>
            <w:r w:rsidRPr="006C2F2D">
              <w:rPr>
                <w:b/>
                <w:i/>
              </w:rPr>
              <w:t>U</w:t>
            </w:r>
            <w:r w:rsidR="00861169">
              <w:rPr>
                <w:b/>
                <w:i/>
              </w:rPr>
              <w:t>mständen</w:t>
            </w:r>
            <w:r w:rsidRPr="006C2F2D">
              <w:rPr>
                <w:b/>
                <w:i/>
              </w:rPr>
              <w:t xml:space="preserve"> au</w:t>
            </w:r>
            <w:r w:rsidR="001D7D17" w:rsidRPr="006C2F2D">
              <w:rPr>
                <w:b/>
                <w:i/>
              </w:rPr>
              <w:t xml:space="preserve">ch </w:t>
            </w:r>
            <w:r w:rsidRPr="006C2F2D">
              <w:rPr>
                <w:b/>
                <w:i/>
              </w:rPr>
              <w:t>zu diskutieren:</w:t>
            </w:r>
          </w:p>
          <w:p w:rsidR="00B00742" w:rsidRDefault="00D7142F" w:rsidP="00152463">
            <w:pPr>
              <w:pStyle w:val="Listenabsatz"/>
              <w:numPr>
                <w:ilvl w:val="0"/>
                <w:numId w:val="17"/>
              </w:numPr>
              <w:suppressAutoHyphens/>
            </w:pPr>
            <w:r>
              <w:t>Die Soldaten waren in der Ideenwelt des deutschen Kolonialismus gefangen und hinterfragten vermutlich deswegen kaum ihre Befehle.</w:t>
            </w:r>
          </w:p>
        </w:tc>
        <w:tc>
          <w:tcPr>
            <w:tcW w:w="3702" w:type="dxa"/>
          </w:tcPr>
          <w:p w:rsidR="001D7D17" w:rsidRDefault="00D7142F" w:rsidP="007D78FD">
            <w:pPr>
              <w:pStyle w:val="Listenabsatz"/>
              <w:numPr>
                <w:ilvl w:val="0"/>
                <w:numId w:val="18"/>
              </w:numPr>
              <w:suppressAutoHyphens/>
            </w:pPr>
            <w:r>
              <w:t>Es gab keine Handlungsalternativen für die Hereros, weil sie nicht über die Mittel verfügten, eine Form von Widerstand zu organisieren oder zu leisten.</w:t>
            </w:r>
          </w:p>
          <w:p w:rsidR="006C2F2D" w:rsidRDefault="006C2F2D" w:rsidP="007D78FD">
            <w:pPr>
              <w:pStyle w:val="Listenabsatz"/>
              <w:suppressAutoHyphens/>
              <w:ind w:left="720"/>
            </w:pPr>
          </w:p>
          <w:p w:rsidR="006C2F2D" w:rsidRPr="006C2F2D" w:rsidRDefault="006C2F2D" w:rsidP="007D78FD">
            <w:pPr>
              <w:suppressAutoHyphens/>
              <w:rPr>
                <w:b/>
                <w:i/>
              </w:rPr>
            </w:pPr>
            <w:r w:rsidRPr="006C2F2D">
              <w:rPr>
                <w:b/>
                <w:i/>
              </w:rPr>
              <w:t>U</w:t>
            </w:r>
            <w:r w:rsidR="00861169">
              <w:rPr>
                <w:b/>
                <w:i/>
              </w:rPr>
              <w:t xml:space="preserve">nter </w:t>
            </w:r>
            <w:r w:rsidRPr="006C2F2D">
              <w:rPr>
                <w:b/>
                <w:i/>
              </w:rPr>
              <w:t>U</w:t>
            </w:r>
            <w:r w:rsidR="00861169">
              <w:rPr>
                <w:b/>
                <w:i/>
              </w:rPr>
              <w:t>mständen</w:t>
            </w:r>
            <w:r w:rsidRPr="006C2F2D">
              <w:rPr>
                <w:b/>
                <w:i/>
              </w:rPr>
              <w:t xml:space="preserve"> auch zu diskutieren:</w:t>
            </w:r>
          </w:p>
          <w:p w:rsidR="00D7142F" w:rsidRDefault="006C2F2D" w:rsidP="007D78FD">
            <w:pPr>
              <w:pStyle w:val="Listenabsatz"/>
              <w:numPr>
                <w:ilvl w:val="0"/>
                <w:numId w:val="18"/>
              </w:numPr>
              <w:suppressAutoHyphens/>
            </w:pPr>
            <w:r>
              <w:t>Die Hereros hatten ihre eigene Ideenwelt, die sich so deutlich von der der deutschen Kolonialmacht unterschied, dass die Forderungen von Trothas vermutlich für die Herero gar nicht nachvollziehbar waren.</w:t>
            </w:r>
          </w:p>
        </w:tc>
      </w:tr>
    </w:tbl>
    <w:p w:rsidR="00622156" w:rsidRDefault="00622156" w:rsidP="007D78FD">
      <w:pPr>
        <w:suppressAutoHyphens/>
      </w:pPr>
    </w:p>
    <w:p w:rsidR="00451218" w:rsidRPr="00ED3F19" w:rsidRDefault="00451218" w:rsidP="00451218">
      <w:pPr>
        <w:suppressAutoHyphens/>
        <w:rPr>
          <w:rFonts w:cs="Arial"/>
        </w:rPr>
      </w:pPr>
      <w:r w:rsidRPr="00F66D5A">
        <w:rPr>
          <w:i/>
          <w:noProof/>
          <w:sz w:val="20"/>
          <w:szCs w:val="20"/>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w:t>
      </w:r>
      <w:r w:rsidRPr="00EE1EB1">
        <w:t>LISUM</w:t>
      </w:r>
      <w:r>
        <w:t xml:space="preserve"> 2017</w:t>
      </w:r>
    </w:p>
    <w:p w:rsidR="00451218" w:rsidRDefault="00451218" w:rsidP="007D78FD">
      <w:pPr>
        <w:suppressAutoHyphens/>
      </w:pPr>
      <w:r w:rsidRPr="00451218">
        <w:rPr>
          <w:rFonts w:cs="Arial"/>
          <w:sz w:val="16"/>
          <w:szCs w:val="16"/>
          <w:lang w:eastAsia="de-DE"/>
        </w:rPr>
        <w:t>„Aufruf an das Volk der Herero</w:t>
      </w:r>
      <w:r>
        <w:rPr>
          <w:rFonts w:cs="Arial"/>
          <w:sz w:val="16"/>
          <w:szCs w:val="16"/>
          <w:lang w:eastAsia="de-DE"/>
        </w:rPr>
        <w:t>“</w:t>
      </w:r>
      <w:r w:rsidRPr="00451218">
        <w:rPr>
          <w:rFonts w:eastAsia="Times New Roman" w:cs="Arial"/>
          <w:sz w:val="16"/>
          <w:szCs w:val="16"/>
          <w:lang w:eastAsia="de-DE"/>
        </w:rPr>
        <w:t xml:space="preserve">: </w:t>
      </w:r>
      <w:hyperlink r:id="rId12" w:history="1">
        <w:r w:rsidRPr="00451218">
          <w:rPr>
            <w:rStyle w:val="Hyperlink"/>
            <w:rFonts w:eastAsia="Times New Roman" w:cs="Arial"/>
            <w:color w:val="auto"/>
            <w:sz w:val="16"/>
            <w:szCs w:val="16"/>
            <w:u w:val="none"/>
            <w:lang w:eastAsia="de-DE"/>
          </w:rPr>
          <w:t>http://de.wikipedia.org/wiki/Lothar_von_Trotha</w:t>
        </w:r>
      </w:hyperlink>
      <w:r w:rsidRPr="00451218">
        <w:rPr>
          <w:rFonts w:eastAsia="Times New Roman" w:cs="Arial"/>
          <w:sz w:val="16"/>
          <w:szCs w:val="16"/>
          <w:lang w:eastAsia="de-DE"/>
        </w:rPr>
        <w:t>, eingesehen am 29.12.2014</w:t>
      </w:r>
    </w:p>
    <w:sectPr w:rsidR="00451218" w:rsidSect="004851BE">
      <w:footerReference w:type="default" r:id="rId13"/>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26" w:rsidRDefault="000B0726" w:rsidP="00837EC7">
      <w:pPr>
        <w:spacing w:line="240" w:lineRule="auto"/>
      </w:pPr>
      <w:r>
        <w:separator/>
      </w:r>
    </w:p>
  </w:endnote>
  <w:endnote w:type="continuationSeparator" w:id="0">
    <w:p w:rsidR="000B0726" w:rsidRDefault="000B0726"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0483"/>
      <w:docPartObj>
        <w:docPartGallery w:val="Page Numbers (Bottom of Page)"/>
        <w:docPartUnique/>
      </w:docPartObj>
    </w:sdtPr>
    <w:sdtContent>
      <w:sdt>
        <w:sdtPr>
          <w:id w:val="1021177321"/>
          <w:docPartObj>
            <w:docPartGallery w:val="Page Numbers (Top of Page)"/>
            <w:docPartUnique/>
          </w:docPartObj>
        </w:sdtPr>
        <w:sdtContent>
          <w:p w:rsidR="00D7142F" w:rsidRDefault="00D7142F">
            <w:pPr>
              <w:pStyle w:val="Fuzeile"/>
              <w:jc w:val="right"/>
            </w:pPr>
            <w:r>
              <w:t xml:space="preserve">Seite </w:t>
            </w:r>
            <w:r w:rsidR="000D4EB8">
              <w:rPr>
                <w:b/>
                <w:sz w:val="24"/>
                <w:szCs w:val="24"/>
              </w:rPr>
              <w:fldChar w:fldCharType="begin"/>
            </w:r>
            <w:r>
              <w:rPr>
                <w:b/>
              </w:rPr>
              <w:instrText>PAGE</w:instrText>
            </w:r>
            <w:r w:rsidR="000D4EB8">
              <w:rPr>
                <w:b/>
                <w:sz w:val="24"/>
                <w:szCs w:val="24"/>
              </w:rPr>
              <w:fldChar w:fldCharType="separate"/>
            </w:r>
            <w:r w:rsidR="00152463">
              <w:rPr>
                <w:b/>
                <w:noProof/>
              </w:rPr>
              <w:t>1</w:t>
            </w:r>
            <w:r w:rsidR="000D4EB8">
              <w:rPr>
                <w:b/>
                <w:sz w:val="24"/>
                <w:szCs w:val="24"/>
              </w:rPr>
              <w:fldChar w:fldCharType="end"/>
            </w:r>
            <w:r>
              <w:t xml:space="preserve"> von </w:t>
            </w:r>
            <w:r w:rsidR="000D4EB8">
              <w:rPr>
                <w:b/>
                <w:sz w:val="24"/>
                <w:szCs w:val="24"/>
              </w:rPr>
              <w:fldChar w:fldCharType="begin"/>
            </w:r>
            <w:r>
              <w:rPr>
                <w:b/>
              </w:rPr>
              <w:instrText>NUMPAGES</w:instrText>
            </w:r>
            <w:r w:rsidR="000D4EB8">
              <w:rPr>
                <w:b/>
                <w:sz w:val="24"/>
                <w:szCs w:val="24"/>
              </w:rPr>
              <w:fldChar w:fldCharType="separate"/>
            </w:r>
            <w:r w:rsidR="00152463">
              <w:rPr>
                <w:b/>
                <w:noProof/>
              </w:rPr>
              <w:t>3</w:t>
            </w:r>
            <w:r w:rsidR="000D4EB8">
              <w:rPr>
                <w:b/>
                <w:sz w:val="24"/>
                <w:szCs w:val="24"/>
              </w:rPr>
              <w:fldChar w:fldCharType="end"/>
            </w:r>
          </w:p>
        </w:sdtContent>
      </w:sdt>
    </w:sdtContent>
  </w:sdt>
  <w:p w:rsidR="00D7142F" w:rsidRDefault="00D7142F" w:rsidP="00937B60">
    <w:pPr>
      <w:pStyle w:val="Fuzeile"/>
      <w:tabs>
        <w:tab w:val="clear" w:pos="4536"/>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2F" w:rsidRDefault="00D7142F">
    <w:pPr>
      <w:pStyle w:val="Fuzeile"/>
      <w:jc w:val="right"/>
    </w:pPr>
    <w:r>
      <w:t xml:space="preserve">Seite </w:t>
    </w:r>
    <w:r w:rsidR="000D4EB8">
      <w:rPr>
        <w:b/>
        <w:sz w:val="24"/>
        <w:szCs w:val="24"/>
      </w:rPr>
      <w:fldChar w:fldCharType="begin"/>
    </w:r>
    <w:r>
      <w:rPr>
        <w:b/>
      </w:rPr>
      <w:instrText>PAGE</w:instrText>
    </w:r>
    <w:r w:rsidR="000D4EB8">
      <w:rPr>
        <w:b/>
        <w:sz w:val="24"/>
        <w:szCs w:val="24"/>
      </w:rPr>
      <w:fldChar w:fldCharType="separate"/>
    </w:r>
    <w:r w:rsidR="00152463">
      <w:rPr>
        <w:b/>
        <w:noProof/>
      </w:rPr>
      <w:t>2</w:t>
    </w:r>
    <w:r w:rsidR="000D4EB8">
      <w:rPr>
        <w:b/>
        <w:sz w:val="24"/>
        <w:szCs w:val="24"/>
      </w:rPr>
      <w:fldChar w:fldCharType="end"/>
    </w:r>
    <w:r>
      <w:t xml:space="preserve"> von </w:t>
    </w:r>
    <w:r w:rsidR="000D4EB8">
      <w:rPr>
        <w:b/>
        <w:sz w:val="24"/>
        <w:szCs w:val="24"/>
      </w:rPr>
      <w:fldChar w:fldCharType="begin"/>
    </w:r>
    <w:r>
      <w:rPr>
        <w:b/>
      </w:rPr>
      <w:instrText>NUMPAGES</w:instrText>
    </w:r>
    <w:r w:rsidR="000D4EB8">
      <w:rPr>
        <w:b/>
        <w:sz w:val="24"/>
        <w:szCs w:val="24"/>
      </w:rPr>
      <w:fldChar w:fldCharType="separate"/>
    </w:r>
    <w:r w:rsidR="00152463">
      <w:rPr>
        <w:b/>
        <w:noProof/>
      </w:rPr>
      <w:t>3</w:t>
    </w:r>
    <w:r w:rsidR="000D4EB8">
      <w:rPr>
        <w:b/>
        <w:sz w:val="24"/>
        <w:szCs w:val="24"/>
      </w:rPr>
      <w:fldChar w:fldCharType="end"/>
    </w:r>
  </w:p>
  <w:p w:rsidR="00D7142F" w:rsidRDefault="00D7142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26" w:rsidRDefault="000B0726" w:rsidP="00837EC7">
      <w:pPr>
        <w:spacing w:line="240" w:lineRule="auto"/>
      </w:pPr>
      <w:r>
        <w:separator/>
      </w:r>
    </w:p>
  </w:footnote>
  <w:footnote w:type="continuationSeparator" w:id="0">
    <w:p w:rsidR="000B0726" w:rsidRDefault="000B0726" w:rsidP="00837EC7">
      <w:pPr>
        <w:spacing w:line="240" w:lineRule="auto"/>
      </w:pPr>
      <w:r>
        <w:continuationSeparator/>
      </w:r>
    </w:p>
  </w:footnote>
  <w:footnote w:id="1">
    <w:p w:rsidR="00D7142F" w:rsidRPr="00273627" w:rsidRDefault="00D7142F" w:rsidP="00273627">
      <w:pPr>
        <w:pStyle w:val="KeinLeerraum"/>
        <w:rPr>
          <w:rFonts w:ascii="Arial" w:hAnsi="Arial" w:cs="Arial"/>
          <w:i/>
          <w:sz w:val="20"/>
          <w:szCs w:val="20"/>
        </w:rPr>
      </w:pPr>
      <w:r w:rsidRPr="00273627">
        <w:rPr>
          <w:rStyle w:val="Funotenzeichen"/>
          <w:rFonts w:ascii="Arial" w:hAnsi="Arial" w:cs="Arial"/>
          <w:i/>
          <w:sz w:val="20"/>
          <w:szCs w:val="20"/>
        </w:rPr>
        <w:footnoteRef/>
      </w:r>
      <w:r w:rsidRPr="00273627">
        <w:rPr>
          <w:rFonts w:ascii="Arial" w:hAnsi="Arial" w:cs="Arial"/>
          <w:i/>
          <w:sz w:val="20"/>
          <w:szCs w:val="20"/>
        </w:rPr>
        <w:t xml:space="preserve"> Stammesfürsten oder Anführer</w:t>
      </w:r>
    </w:p>
  </w:footnote>
  <w:footnote w:id="2">
    <w:p w:rsidR="00D7142F" w:rsidRPr="00273627" w:rsidRDefault="00D7142F" w:rsidP="00273627">
      <w:pPr>
        <w:pStyle w:val="KeinLeerraum"/>
        <w:rPr>
          <w:rFonts w:ascii="Arial" w:hAnsi="Arial" w:cs="Arial"/>
          <w:i/>
          <w:sz w:val="20"/>
          <w:szCs w:val="20"/>
        </w:rPr>
      </w:pPr>
      <w:r w:rsidRPr="00273627">
        <w:rPr>
          <w:rStyle w:val="Funotenzeichen"/>
          <w:rFonts w:ascii="Arial" w:hAnsi="Arial" w:cs="Arial"/>
          <w:i/>
          <w:sz w:val="20"/>
          <w:szCs w:val="20"/>
        </w:rPr>
        <w:footnoteRef/>
      </w:r>
      <w:r w:rsidRPr="00273627">
        <w:rPr>
          <w:rFonts w:ascii="Arial" w:hAnsi="Arial" w:cs="Arial"/>
          <w:i/>
          <w:sz w:val="20"/>
          <w:szCs w:val="20"/>
        </w:rPr>
        <w:t xml:space="preserve"> Zum Vergleich: Ein Arbeiter im Hamburger Hafen bekam kurz nach der Jahrhundertwende pro M</w:t>
      </w:r>
      <w:r w:rsidRPr="00273627">
        <w:rPr>
          <w:rFonts w:ascii="Arial" w:hAnsi="Arial" w:cs="Arial"/>
          <w:i/>
          <w:sz w:val="20"/>
          <w:szCs w:val="20"/>
        </w:rPr>
        <w:t>o</w:t>
      </w:r>
      <w:r w:rsidRPr="00273627">
        <w:rPr>
          <w:rFonts w:ascii="Arial" w:hAnsi="Arial" w:cs="Arial"/>
          <w:i/>
          <w:sz w:val="20"/>
          <w:szCs w:val="20"/>
        </w:rPr>
        <w:t>nat etwa 60 Mark.</w:t>
      </w:r>
    </w:p>
  </w:footnote>
  <w:footnote w:id="3">
    <w:p w:rsidR="00D7142F" w:rsidRPr="00273627" w:rsidRDefault="00D7142F" w:rsidP="00273627">
      <w:pPr>
        <w:pStyle w:val="KeinLeerraum"/>
        <w:rPr>
          <w:rFonts w:ascii="Arial" w:hAnsi="Arial" w:cs="Arial"/>
          <w:i/>
          <w:sz w:val="20"/>
          <w:szCs w:val="20"/>
        </w:rPr>
      </w:pPr>
      <w:r w:rsidRPr="00273627">
        <w:rPr>
          <w:rStyle w:val="Funotenzeichen"/>
          <w:rFonts w:ascii="Arial" w:hAnsi="Arial" w:cs="Arial"/>
          <w:i/>
          <w:sz w:val="20"/>
          <w:szCs w:val="20"/>
        </w:rPr>
        <w:footnoteRef/>
      </w:r>
      <w:r w:rsidRPr="00273627">
        <w:rPr>
          <w:rFonts w:ascii="Arial" w:hAnsi="Arial" w:cs="Arial"/>
          <w:i/>
          <w:sz w:val="20"/>
          <w:szCs w:val="20"/>
        </w:rPr>
        <w:t xml:space="preserve"> Gemeint ist die bessere Bewaffnung der deutschen Kolonialtruppe, die u.</w:t>
      </w:r>
      <w:r>
        <w:rPr>
          <w:rFonts w:ascii="Arial" w:hAnsi="Arial" w:cs="Arial"/>
          <w:i/>
          <w:sz w:val="20"/>
          <w:szCs w:val="20"/>
        </w:rPr>
        <w:t xml:space="preserve"> </w:t>
      </w:r>
      <w:r w:rsidRPr="00273627">
        <w:rPr>
          <w:rFonts w:ascii="Arial" w:hAnsi="Arial" w:cs="Arial"/>
          <w:i/>
          <w:sz w:val="20"/>
          <w:szCs w:val="20"/>
        </w:rPr>
        <w:t>a. mit Kanonen ausgerü</w:t>
      </w:r>
      <w:r w:rsidRPr="00273627">
        <w:rPr>
          <w:rFonts w:ascii="Arial" w:hAnsi="Arial" w:cs="Arial"/>
          <w:i/>
          <w:sz w:val="20"/>
          <w:szCs w:val="20"/>
        </w:rPr>
        <w:t>s</w:t>
      </w:r>
      <w:r w:rsidRPr="00273627">
        <w:rPr>
          <w:rFonts w:ascii="Arial" w:hAnsi="Arial" w:cs="Arial"/>
          <w:i/>
          <w:sz w:val="20"/>
          <w:szCs w:val="20"/>
        </w:rPr>
        <w:t xml:space="preserve">tet </w:t>
      </w:r>
      <w:r>
        <w:rPr>
          <w:rFonts w:ascii="Arial" w:hAnsi="Arial" w:cs="Arial"/>
          <w:i/>
          <w:sz w:val="20"/>
          <w:szCs w:val="20"/>
        </w:rPr>
        <w:t>war</w:t>
      </w:r>
      <w:r w:rsidRPr="00273627">
        <w:rPr>
          <w:rFonts w:ascii="Arial" w:hAnsi="Arial" w:cs="Arial"/>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2F" w:rsidRPr="00142DFA" w:rsidRDefault="00D7142F"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3EF1B3F"/>
    <w:multiLevelType w:val="hybridMultilevel"/>
    <w:tmpl w:val="FBC68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BB624B"/>
    <w:multiLevelType w:val="hybridMultilevel"/>
    <w:tmpl w:val="6772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2C450F"/>
    <w:multiLevelType w:val="hybridMultilevel"/>
    <w:tmpl w:val="7BF27834"/>
    <w:lvl w:ilvl="0" w:tplc="9DE614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7C6B64"/>
    <w:multiLevelType w:val="hybridMultilevel"/>
    <w:tmpl w:val="44E80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75B5F"/>
    <w:multiLevelType w:val="hybridMultilevel"/>
    <w:tmpl w:val="91F628C6"/>
    <w:lvl w:ilvl="0" w:tplc="C6FC3A0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073502"/>
    <w:multiLevelType w:val="hybridMultilevel"/>
    <w:tmpl w:val="B006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EA7DAD"/>
    <w:multiLevelType w:val="hybridMultilevel"/>
    <w:tmpl w:val="FB7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B371B4"/>
    <w:multiLevelType w:val="hybridMultilevel"/>
    <w:tmpl w:val="8EB64428"/>
    <w:lvl w:ilvl="0" w:tplc="9DE614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num>
  <w:num w:numId="2">
    <w:abstractNumId w:val="6"/>
  </w:num>
  <w:num w:numId="3">
    <w:abstractNumId w:val="13"/>
  </w:num>
  <w:num w:numId="4">
    <w:abstractNumId w:val="9"/>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3"/>
  </w:num>
  <w:num w:numId="12">
    <w:abstractNumId w:val="15"/>
  </w:num>
  <w:num w:numId="13">
    <w:abstractNumId w:val="14"/>
  </w:num>
  <w:num w:numId="14">
    <w:abstractNumId w:val="0"/>
  </w:num>
  <w:num w:numId="15">
    <w:abstractNumId w:val="2"/>
  </w:num>
  <w:num w:numId="16">
    <w:abstractNumId w:val="10"/>
  </w:num>
  <w:num w:numId="17">
    <w:abstractNumId w:val="7"/>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511575"/>
    <w:rsid w:val="000057B8"/>
    <w:rsid w:val="0002390F"/>
    <w:rsid w:val="0004165F"/>
    <w:rsid w:val="000602E5"/>
    <w:rsid w:val="000636E4"/>
    <w:rsid w:val="000723CA"/>
    <w:rsid w:val="00094320"/>
    <w:rsid w:val="000A2A61"/>
    <w:rsid w:val="000A4B8B"/>
    <w:rsid w:val="000B0726"/>
    <w:rsid w:val="000C1872"/>
    <w:rsid w:val="000D2F5A"/>
    <w:rsid w:val="000D4EB8"/>
    <w:rsid w:val="000E10E7"/>
    <w:rsid w:val="000E1B86"/>
    <w:rsid w:val="001167AE"/>
    <w:rsid w:val="001302CE"/>
    <w:rsid w:val="00133562"/>
    <w:rsid w:val="001344ED"/>
    <w:rsid w:val="00136172"/>
    <w:rsid w:val="00142DFA"/>
    <w:rsid w:val="00152463"/>
    <w:rsid w:val="00154C95"/>
    <w:rsid w:val="00155F4E"/>
    <w:rsid w:val="00162503"/>
    <w:rsid w:val="001634E6"/>
    <w:rsid w:val="00163D87"/>
    <w:rsid w:val="0016723E"/>
    <w:rsid w:val="00170C14"/>
    <w:rsid w:val="00185133"/>
    <w:rsid w:val="00193D33"/>
    <w:rsid w:val="001A6150"/>
    <w:rsid w:val="001A71B9"/>
    <w:rsid w:val="001B043E"/>
    <w:rsid w:val="001B70B9"/>
    <w:rsid w:val="001C0613"/>
    <w:rsid w:val="001C3197"/>
    <w:rsid w:val="001C3232"/>
    <w:rsid w:val="001D7D17"/>
    <w:rsid w:val="001F319E"/>
    <w:rsid w:val="00202F49"/>
    <w:rsid w:val="00206E1F"/>
    <w:rsid w:val="0022527D"/>
    <w:rsid w:val="002348B8"/>
    <w:rsid w:val="00244EC0"/>
    <w:rsid w:val="00262C2E"/>
    <w:rsid w:val="00270DFC"/>
    <w:rsid w:val="00273627"/>
    <w:rsid w:val="0028583D"/>
    <w:rsid w:val="002A04B8"/>
    <w:rsid w:val="002A2294"/>
    <w:rsid w:val="002A50B3"/>
    <w:rsid w:val="002B14FC"/>
    <w:rsid w:val="002B5E8B"/>
    <w:rsid w:val="002D3F70"/>
    <w:rsid w:val="002D55C9"/>
    <w:rsid w:val="002E1682"/>
    <w:rsid w:val="002E47BA"/>
    <w:rsid w:val="002E5A6A"/>
    <w:rsid w:val="002F3A84"/>
    <w:rsid w:val="002F3C8C"/>
    <w:rsid w:val="00300E1A"/>
    <w:rsid w:val="00315C3D"/>
    <w:rsid w:val="00320380"/>
    <w:rsid w:val="00321743"/>
    <w:rsid w:val="00334567"/>
    <w:rsid w:val="00362E57"/>
    <w:rsid w:val="00363539"/>
    <w:rsid w:val="00365E0B"/>
    <w:rsid w:val="003676F2"/>
    <w:rsid w:val="00381AB2"/>
    <w:rsid w:val="00395D5D"/>
    <w:rsid w:val="003963FB"/>
    <w:rsid w:val="003A1FC0"/>
    <w:rsid w:val="003C72C6"/>
    <w:rsid w:val="003D3306"/>
    <w:rsid w:val="003F4234"/>
    <w:rsid w:val="003F49B5"/>
    <w:rsid w:val="0040115E"/>
    <w:rsid w:val="004072A0"/>
    <w:rsid w:val="00410F2A"/>
    <w:rsid w:val="00411347"/>
    <w:rsid w:val="00420481"/>
    <w:rsid w:val="00424890"/>
    <w:rsid w:val="00432230"/>
    <w:rsid w:val="00445672"/>
    <w:rsid w:val="00451218"/>
    <w:rsid w:val="0045370E"/>
    <w:rsid w:val="00456E94"/>
    <w:rsid w:val="00467ABE"/>
    <w:rsid w:val="0047051C"/>
    <w:rsid w:val="0047310C"/>
    <w:rsid w:val="00484057"/>
    <w:rsid w:val="004851BE"/>
    <w:rsid w:val="0049671A"/>
    <w:rsid w:val="00496D76"/>
    <w:rsid w:val="004A2744"/>
    <w:rsid w:val="004C485B"/>
    <w:rsid w:val="004C5D31"/>
    <w:rsid w:val="004C7E8F"/>
    <w:rsid w:val="004F3656"/>
    <w:rsid w:val="005052CB"/>
    <w:rsid w:val="00511575"/>
    <w:rsid w:val="00513D91"/>
    <w:rsid w:val="0052043C"/>
    <w:rsid w:val="0052717A"/>
    <w:rsid w:val="005332B2"/>
    <w:rsid w:val="00537A2A"/>
    <w:rsid w:val="005440A2"/>
    <w:rsid w:val="00561823"/>
    <w:rsid w:val="0056528E"/>
    <w:rsid w:val="005812BA"/>
    <w:rsid w:val="0059532A"/>
    <w:rsid w:val="005960DF"/>
    <w:rsid w:val="005A440F"/>
    <w:rsid w:val="005B5CEA"/>
    <w:rsid w:val="005C16CC"/>
    <w:rsid w:val="005C38A2"/>
    <w:rsid w:val="005E21A5"/>
    <w:rsid w:val="005F1ACA"/>
    <w:rsid w:val="00622156"/>
    <w:rsid w:val="00624BAE"/>
    <w:rsid w:val="00626CAF"/>
    <w:rsid w:val="006353D6"/>
    <w:rsid w:val="00677337"/>
    <w:rsid w:val="00685B45"/>
    <w:rsid w:val="00686D09"/>
    <w:rsid w:val="006949A3"/>
    <w:rsid w:val="006A0836"/>
    <w:rsid w:val="006A22F8"/>
    <w:rsid w:val="006A599E"/>
    <w:rsid w:val="006C2F2D"/>
    <w:rsid w:val="006C713F"/>
    <w:rsid w:val="006D084A"/>
    <w:rsid w:val="006D1F6C"/>
    <w:rsid w:val="006D5EEA"/>
    <w:rsid w:val="006D719E"/>
    <w:rsid w:val="007024FB"/>
    <w:rsid w:val="007278E4"/>
    <w:rsid w:val="007357B6"/>
    <w:rsid w:val="007621DD"/>
    <w:rsid w:val="00767DA9"/>
    <w:rsid w:val="007A6983"/>
    <w:rsid w:val="007C1D1C"/>
    <w:rsid w:val="007C32D6"/>
    <w:rsid w:val="007C3E2C"/>
    <w:rsid w:val="007C6C71"/>
    <w:rsid w:val="007D6BA1"/>
    <w:rsid w:val="007D78FD"/>
    <w:rsid w:val="00800BD6"/>
    <w:rsid w:val="008109AD"/>
    <w:rsid w:val="008119C5"/>
    <w:rsid w:val="00820851"/>
    <w:rsid w:val="00825908"/>
    <w:rsid w:val="00826C8F"/>
    <w:rsid w:val="00837EC7"/>
    <w:rsid w:val="00861169"/>
    <w:rsid w:val="008829F2"/>
    <w:rsid w:val="00885C24"/>
    <w:rsid w:val="008A1768"/>
    <w:rsid w:val="008A7F60"/>
    <w:rsid w:val="008B1781"/>
    <w:rsid w:val="008B1D49"/>
    <w:rsid w:val="008B6E6E"/>
    <w:rsid w:val="008E2ED1"/>
    <w:rsid w:val="008E7D45"/>
    <w:rsid w:val="008F78E6"/>
    <w:rsid w:val="00937B60"/>
    <w:rsid w:val="00954AAB"/>
    <w:rsid w:val="009551DB"/>
    <w:rsid w:val="0095558E"/>
    <w:rsid w:val="00957068"/>
    <w:rsid w:val="0097126A"/>
    <w:rsid w:val="00971722"/>
    <w:rsid w:val="009773F1"/>
    <w:rsid w:val="00981B43"/>
    <w:rsid w:val="009A1D85"/>
    <w:rsid w:val="009B046A"/>
    <w:rsid w:val="009B3B01"/>
    <w:rsid w:val="009B6938"/>
    <w:rsid w:val="009D2D5F"/>
    <w:rsid w:val="009E2E51"/>
    <w:rsid w:val="009F42E4"/>
    <w:rsid w:val="00A03EA8"/>
    <w:rsid w:val="00A20523"/>
    <w:rsid w:val="00A26FD6"/>
    <w:rsid w:val="00A366CC"/>
    <w:rsid w:val="00A43EF5"/>
    <w:rsid w:val="00A51A0E"/>
    <w:rsid w:val="00A57E9B"/>
    <w:rsid w:val="00A804F8"/>
    <w:rsid w:val="00A828A1"/>
    <w:rsid w:val="00A973E5"/>
    <w:rsid w:val="00AB509B"/>
    <w:rsid w:val="00AB7F44"/>
    <w:rsid w:val="00AD39E6"/>
    <w:rsid w:val="00AD4964"/>
    <w:rsid w:val="00AD54F8"/>
    <w:rsid w:val="00AE2D84"/>
    <w:rsid w:val="00AE3A55"/>
    <w:rsid w:val="00AE6DEB"/>
    <w:rsid w:val="00B00742"/>
    <w:rsid w:val="00B02A7E"/>
    <w:rsid w:val="00B14E78"/>
    <w:rsid w:val="00B3248C"/>
    <w:rsid w:val="00B4035B"/>
    <w:rsid w:val="00B45AEB"/>
    <w:rsid w:val="00B542E5"/>
    <w:rsid w:val="00B800CD"/>
    <w:rsid w:val="00B83C0F"/>
    <w:rsid w:val="00B85AFB"/>
    <w:rsid w:val="00B94BD8"/>
    <w:rsid w:val="00B9655B"/>
    <w:rsid w:val="00BA7994"/>
    <w:rsid w:val="00BB1971"/>
    <w:rsid w:val="00BC2437"/>
    <w:rsid w:val="00BC35E6"/>
    <w:rsid w:val="00BC763D"/>
    <w:rsid w:val="00BD7E76"/>
    <w:rsid w:val="00BE1914"/>
    <w:rsid w:val="00BE240A"/>
    <w:rsid w:val="00BE2413"/>
    <w:rsid w:val="00BE3AD8"/>
    <w:rsid w:val="00BE7704"/>
    <w:rsid w:val="00BF22FF"/>
    <w:rsid w:val="00BF2994"/>
    <w:rsid w:val="00BF4880"/>
    <w:rsid w:val="00BF6D1A"/>
    <w:rsid w:val="00C01D4F"/>
    <w:rsid w:val="00C16860"/>
    <w:rsid w:val="00C2005D"/>
    <w:rsid w:val="00C2144F"/>
    <w:rsid w:val="00C219D2"/>
    <w:rsid w:val="00C2632F"/>
    <w:rsid w:val="00C3332D"/>
    <w:rsid w:val="00C362D6"/>
    <w:rsid w:val="00C47F23"/>
    <w:rsid w:val="00C61307"/>
    <w:rsid w:val="00C6552D"/>
    <w:rsid w:val="00C752F4"/>
    <w:rsid w:val="00C80B1E"/>
    <w:rsid w:val="00C80DB7"/>
    <w:rsid w:val="00CB3549"/>
    <w:rsid w:val="00CF3AD7"/>
    <w:rsid w:val="00D0541C"/>
    <w:rsid w:val="00D0707C"/>
    <w:rsid w:val="00D226DE"/>
    <w:rsid w:val="00D270BC"/>
    <w:rsid w:val="00D317BB"/>
    <w:rsid w:val="00D41BE0"/>
    <w:rsid w:val="00D47E9C"/>
    <w:rsid w:val="00D54C6F"/>
    <w:rsid w:val="00D7142F"/>
    <w:rsid w:val="00D8081D"/>
    <w:rsid w:val="00D92902"/>
    <w:rsid w:val="00D96E14"/>
    <w:rsid w:val="00DC48D3"/>
    <w:rsid w:val="00DC762A"/>
    <w:rsid w:val="00DD0C30"/>
    <w:rsid w:val="00DE40B6"/>
    <w:rsid w:val="00DE467F"/>
    <w:rsid w:val="00DF308F"/>
    <w:rsid w:val="00E106CC"/>
    <w:rsid w:val="00E16A0E"/>
    <w:rsid w:val="00E16B27"/>
    <w:rsid w:val="00E579BF"/>
    <w:rsid w:val="00E72519"/>
    <w:rsid w:val="00E75123"/>
    <w:rsid w:val="00E84ADD"/>
    <w:rsid w:val="00E85DB9"/>
    <w:rsid w:val="00E86529"/>
    <w:rsid w:val="00E924E4"/>
    <w:rsid w:val="00EA1278"/>
    <w:rsid w:val="00EA4734"/>
    <w:rsid w:val="00EA5291"/>
    <w:rsid w:val="00EA7922"/>
    <w:rsid w:val="00EB070D"/>
    <w:rsid w:val="00EC1F75"/>
    <w:rsid w:val="00EC51CF"/>
    <w:rsid w:val="00EC68C4"/>
    <w:rsid w:val="00ED0EC3"/>
    <w:rsid w:val="00ED3F19"/>
    <w:rsid w:val="00ED7C1D"/>
    <w:rsid w:val="00EE1EB1"/>
    <w:rsid w:val="00F17F92"/>
    <w:rsid w:val="00F2257F"/>
    <w:rsid w:val="00F372D1"/>
    <w:rsid w:val="00F400C5"/>
    <w:rsid w:val="00F501E6"/>
    <w:rsid w:val="00F5187C"/>
    <w:rsid w:val="00F66D5A"/>
    <w:rsid w:val="00F729A8"/>
    <w:rsid w:val="00F86862"/>
    <w:rsid w:val="00F97C8E"/>
    <w:rsid w:val="00FA0BB9"/>
    <w:rsid w:val="00FA1794"/>
    <w:rsid w:val="00FC3144"/>
    <w:rsid w:val="00FC4097"/>
    <w:rsid w:val="00FE1F41"/>
    <w:rsid w:val="00FF0764"/>
    <w:rsid w:val="00FF5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0E10E7"/>
    <w:rPr>
      <w:sz w:val="22"/>
      <w:szCs w:val="22"/>
      <w:lang w:eastAsia="en-US"/>
    </w:rPr>
  </w:style>
  <w:style w:type="character" w:styleId="Hyperlink">
    <w:name w:val="Hyperlink"/>
    <w:basedOn w:val="Absatz-Standardschriftart"/>
    <w:uiPriority w:val="99"/>
    <w:unhideWhenUsed/>
    <w:rsid w:val="000E10E7"/>
    <w:rPr>
      <w:color w:val="0000FF"/>
      <w:u w:val="single"/>
    </w:rPr>
  </w:style>
  <w:style w:type="character" w:styleId="Zeilennummer">
    <w:name w:val="line number"/>
    <w:basedOn w:val="Absatz-Standardschriftart"/>
    <w:uiPriority w:val="99"/>
    <w:semiHidden/>
    <w:unhideWhenUsed/>
    <w:rsid w:val="000E10E7"/>
  </w:style>
  <w:style w:type="character" w:customStyle="1" w:styleId="mw-mmv-title">
    <w:name w:val="mw-mmv-title"/>
    <w:basedOn w:val="Absatz-Standardschriftart"/>
    <w:rsid w:val="001A6150"/>
  </w:style>
  <w:style w:type="character" w:styleId="Kommentarzeichen">
    <w:name w:val="annotation reference"/>
    <w:basedOn w:val="Absatz-Standardschriftart"/>
    <w:uiPriority w:val="99"/>
    <w:semiHidden/>
    <w:unhideWhenUsed/>
    <w:rsid w:val="00C3332D"/>
    <w:rPr>
      <w:sz w:val="16"/>
      <w:szCs w:val="16"/>
    </w:rPr>
  </w:style>
  <w:style w:type="paragraph" w:styleId="Kommentartext">
    <w:name w:val="annotation text"/>
    <w:basedOn w:val="Standard"/>
    <w:link w:val="KommentartextZchn"/>
    <w:uiPriority w:val="99"/>
    <w:semiHidden/>
    <w:unhideWhenUsed/>
    <w:rsid w:val="00C3332D"/>
    <w:rPr>
      <w:sz w:val="20"/>
      <w:szCs w:val="20"/>
    </w:rPr>
  </w:style>
  <w:style w:type="character" w:customStyle="1" w:styleId="KommentartextZchn">
    <w:name w:val="Kommentartext Zchn"/>
    <w:basedOn w:val="Absatz-Standardschriftart"/>
    <w:link w:val="Kommentartext"/>
    <w:uiPriority w:val="99"/>
    <w:semiHidden/>
    <w:rsid w:val="00C3332D"/>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ki/Lothar_von_Trot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Lothar_von_Trot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12011-97F3-4B8B-9C17-84E19D7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Foerster</cp:lastModifiedBy>
  <cp:revision>2</cp:revision>
  <cp:lastPrinted>2016-06-08T08:31:00Z</cp:lastPrinted>
  <dcterms:created xsi:type="dcterms:W3CDTF">2017-07-24T08:23:00Z</dcterms:created>
  <dcterms:modified xsi:type="dcterms:W3CDTF">2017-07-24T08:23:00Z</dcterms:modified>
</cp:coreProperties>
</file>