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E40065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9F24E5" w:rsidP="00E40065">
            <w:pPr>
              <w:spacing w:before="120" w:after="120"/>
            </w:pPr>
            <w:r>
              <w:t>Kunst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82197C">
            <w:pPr>
              <w:spacing w:before="120" w:after="12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E40065" w:rsidP="00E40065">
            <w:pPr>
              <w:spacing w:before="120" w:after="120"/>
            </w:pPr>
            <w:r>
              <w:t>Herstellen einer Kaltnadelradierung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E40065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F24E5" w:rsidP="00E40065">
            <w:pPr>
              <w:spacing w:before="120" w:after="120"/>
            </w:pPr>
            <w:r>
              <w:t>Gestalten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E40065">
            <w:pPr>
              <w:tabs>
                <w:tab w:val="left" w:pos="1373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E40065" w:rsidP="00E40065">
            <w:pPr>
              <w:tabs>
                <w:tab w:val="left" w:pos="1373"/>
              </w:tabs>
              <w:spacing w:before="120" w:after="120"/>
            </w:pPr>
            <w:r>
              <w:t>Ästhetische Praktiken, Werkzeuge, Techniken und künstler</w:t>
            </w:r>
            <w:r>
              <w:t>i</w:t>
            </w:r>
            <w:r>
              <w:t>sche Strategien anwenden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E40065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E40065" w:rsidP="00E40065">
            <w:pPr>
              <w:tabs>
                <w:tab w:val="left" w:pos="1190"/>
              </w:tabs>
              <w:spacing w:before="120" w:after="12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E40065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E40065" w:rsidP="00E40065">
            <w:pPr>
              <w:tabs>
                <w:tab w:val="left" w:pos="1190"/>
              </w:tabs>
              <w:spacing w:before="120" w:after="120"/>
            </w:pPr>
            <w:r>
              <w:t>Die Schülerinnen und Schüler können neue Werkzeuge, Tec</w:t>
            </w:r>
            <w:r>
              <w:t>h</w:t>
            </w:r>
            <w:r>
              <w:t>niken und Strategien, auch an außerschulischen Lernorten, allein oder gemeinsam mit anderen erproben und vergleichen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E40065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40065" w:rsidRDefault="00E40065" w:rsidP="00E40065">
            <w:pPr>
              <w:tabs>
                <w:tab w:val="left" w:pos="1190"/>
              </w:tabs>
              <w:spacing w:before="120" w:after="120"/>
            </w:pPr>
            <w:r>
              <w:t>Verfahren, Werkzeuge</w:t>
            </w:r>
          </w:p>
          <w:p w:rsidR="00B94BD8" w:rsidRPr="00202F49" w:rsidRDefault="00E40065" w:rsidP="00E40065">
            <w:pPr>
              <w:tabs>
                <w:tab w:val="left" w:pos="1190"/>
              </w:tabs>
              <w:spacing w:before="120" w:after="120"/>
            </w:pPr>
            <w:r>
              <w:t>Herstellen einer Kaltnadelradierung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E40065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40065" w:rsidRDefault="00E40065" w:rsidP="00E40065">
            <w:pPr>
              <w:tabs>
                <w:tab w:val="left" w:pos="1190"/>
              </w:tabs>
              <w:spacing w:before="120" w:after="120"/>
            </w:pPr>
            <w:r>
              <w:t xml:space="preserve">Sprachbildung: Sprechen, Interaktion </w:t>
            </w:r>
          </w:p>
          <w:p w:rsidR="005C16CC" w:rsidRPr="00202F49" w:rsidRDefault="00E40065" w:rsidP="00E40065">
            <w:pPr>
              <w:tabs>
                <w:tab w:val="left" w:pos="1190"/>
              </w:tabs>
              <w:spacing w:before="120" w:after="120"/>
            </w:pPr>
            <w:r>
              <w:t>Kulturelle Bildung, Besuch einer Druckwerkstatt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E40065">
            <w:pPr>
              <w:tabs>
                <w:tab w:val="left" w:pos="1190"/>
              </w:tabs>
              <w:spacing w:before="120" w:after="12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40065" w:rsidRDefault="00E40065" w:rsidP="00E40065">
            <w:pPr>
              <w:tabs>
                <w:tab w:val="left" w:pos="1190"/>
              </w:tabs>
              <w:spacing w:before="120" w:after="120"/>
            </w:pPr>
            <w:r>
              <w:t>Überlegungen zu einem Thema darlegen: Die Schülerinnen und Schüler können zu einem Sachverhalt oder zu Texten e</w:t>
            </w:r>
            <w:r>
              <w:t>i</w:t>
            </w:r>
            <w:r>
              <w:t>gene Überlegungen äußern und begründen.</w:t>
            </w:r>
          </w:p>
          <w:p w:rsidR="005C16CC" w:rsidRPr="00202F49" w:rsidRDefault="00E40065" w:rsidP="00E40065">
            <w:pPr>
              <w:tabs>
                <w:tab w:val="left" w:pos="1190"/>
              </w:tabs>
              <w:spacing w:before="120" w:after="120"/>
            </w:pPr>
            <w:r>
              <w:t>Wörter und Formulierungen der Alltags-, Bildungs- und Fac</w:t>
            </w:r>
            <w:r>
              <w:t>h</w:t>
            </w:r>
            <w:r>
              <w:t>sprache unterscheiden: Die Schülerinnen und Schüler können alltagssprachliche und bildungssprachliche Formulierungen situationsgemäß anwenden.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E40065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E40065">
            <w:pPr>
              <w:tabs>
                <w:tab w:val="left" w:pos="840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E40065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9F24E5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E40065">
            <w:pPr>
              <w:tabs>
                <w:tab w:val="left" w:pos="1735"/>
              </w:tabs>
              <w:spacing w:before="12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E40065">
            <w:pPr>
              <w:spacing w:before="120" w:after="12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9F24E5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9F24E5" w:rsidRDefault="009F24E5" w:rsidP="00E4006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9F24E5" w:rsidRDefault="009F24E5" w:rsidP="00E4006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Jahrgangsstufe: </w:t>
            </w:r>
            <w:r w:rsidR="00E40065">
              <w:rPr>
                <w:b/>
              </w:rPr>
              <w:t>5</w:t>
            </w:r>
            <w:r>
              <w:rPr>
                <w:b/>
              </w:rPr>
              <w:t>/</w:t>
            </w:r>
            <w:r w:rsidR="00E40065">
              <w:rPr>
                <w:b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9F24E5" w:rsidRDefault="009F24E5" w:rsidP="00E40065">
            <w:pPr>
              <w:spacing w:before="120" w:after="120"/>
            </w:pPr>
            <w:r>
              <w:rPr>
                <w:b/>
              </w:rPr>
              <w:t>Schulart: Grundschule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E40065">
            <w:pPr>
              <w:spacing w:before="120" w:after="12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E40065" w:rsidP="00E40065">
            <w:pPr>
              <w:spacing w:before="120" w:after="120"/>
            </w:pPr>
            <w:r>
              <w:t>Verfahren und Techniken, Ästhetische Praktiken, Gestaltung</w:t>
            </w:r>
            <w:r>
              <w:t>s</w:t>
            </w:r>
            <w:r>
              <w:t>vorhaben entwickeln, Arbeitsprozesse beurteilen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E40065" w:rsidRDefault="00E40065" w:rsidP="00E40065">
      <w:pPr>
        <w:spacing w:before="60" w:after="60"/>
      </w:pPr>
      <w:r>
        <w:t>Bereite den Druckplatz gemeinsam mit deiner Gruppe vor. Beachte dabei die Regeln der Druckwerkstatt!</w:t>
      </w:r>
    </w:p>
    <w:p w:rsidR="00E40065" w:rsidRDefault="00E40065" w:rsidP="00E40065">
      <w:pPr>
        <w:spacing w:before="60" w:after="60"/>
      </w:pPr>
      <w:r>
        <w:t>Bearbeite deine Druckplatte mit der Radiernadel und drucke sie ab.</w:t>
      </w:r>
    </w:p>
    <w:p w:rsidR="00E40065" w:rsidRDefault="00E40065" w:rsidP="00E40065">
      <w:pPr>
        <w:spacing w:before="60" w:after="60"/>
      </w:pPr>
      <w:r>
        <w:t>Lass dir für die Arbeit an der Druckwalze Zeit und arbeite sehr genau und behutsam.</w:t>
      </w:r>
    </w:p>
    <w:p w:rsidR="00E40065" w:rsidRDefault="00E40065" w:rsidP="00E40065">
      <w:pPr>
        <w:spacing w:before="60" w:after="60"/>
      </w:pPr>
      <w:r>
        <w:t xml:space="preserve">Beachte die Hinweise </w:t>
      </w:r>
      <w:r w:rsidR="009F28CA">
        <w:t xml:space="preserve">der Werkstattleiterin bzw. </w:t>
      </w:r>
      <w:r>
        <w:t>des Werkstattleiters!</w:t>
      </w:r>
    </w:p>
    <w:p w:rsidR="00E40065" w:rsidRDefault="00E40065" w:rsidP="00E40065">
      <w:pPr>
        <w:spacing w:before="60" w:after="60"/>
      </w:pPr>
      <w:r>
        <w:t>Zeige deine Druckergebnisse, sprich über deine Erfahrung. Erfrage ein Feedback.</w:t>
      </w:r>
    </w:p>
    <w:p w:rsidR="00E40065" w:rsidRDefault="00E40065" w:rsidP="00E40065">
      <w:pPr>
        <w:spacing w:before="60" w:after="60"/>
      </w:pPr>
    </w:p>
    <w:p w:rsidR="00E40065" w:rsidRDefault="00E40065" w:rsidP="00E40065">
      <w:pPr>
        <w:spacing w:before="60" w:after="60"/>
      </w:pPr>
      <w:r>
        <w:t>Räume gemeinsam mit der Gruppe den Druckplatz auf.</w:t>
      </w:r>
    </w:p>
    <w:p w:rsidR="00420481" w:rsidRDefault="00420481" w:rsidP="00BF22FF">
      <w:pPr>
        <w:spacing w:before="60" w:after="60"/>
        <w:rPr>
          <w:b/>
        </w:rPr>
      </w:pPr>
    </w:p>
    <w:p w:rsidR="005A61BB" w:rsidRDefault="005A61BB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6D084A" w:rsidRDefault="006D084A" w:rsidP="00BF22FF">
      <w:pPr>
        <w:spacing w:before="60" w:after="60"/>
        <w:rPr>
          <w:b/>
        </w:rPr>
      </w:pPr>
    </w:p>
    <w:p w:rsidR="006D084A" w:rsidRPr="008119C5" w:rsidRDefault="006D084A" w:rsidP="00BF22FF">
      <w:pPr>
        <w:spacing w:before="60" w:after="60"/>
        <w:rPr>
          <w:b/>
        </w:rPr>
      </w:pPr>
    </w:p>
    <w:p w:rsidR="00937B60" w:rsidRDefault="006D084A" w:rsidP="00420481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BF22FF">
      <w:pPr>
        <w:spacing w:before="60" w:after="60"/>
        <w:rPr>
          <w:b/>
        </w:rPr>
      </w:pPr>
    </w:p>
    <w:p w:rsidR="00E40065" w:rsidRDefault="00E40065" w:rsidP="00E40065">
      <w:pPr>
        <w:spacing w:before="60" w:after="60"/>
        <w:rPr>
          <w:b/>
        </w:rPr>
      </w:pPr>
      <w:r>
        <w:t>Die Schül</w:t>
      </w:r>
      <w:r w:rsidR="009F28CA">
        <w:t>erinnen und Schüler können mith</w:t>
      </w:r>
      <w:r>
        <w:t>ilfe der Kaltnadelradierung künstlerische Strat</w:t>
      </w:r>
      <w:r>
        <w:t>e</w:t>
      </w:r>
      <w:r>
        <w:t xml:space="preserve">gien anwenden und erproben. Sie sind in der Lage, sich den Bedingungen eines anderen Lernortes anzupassen, können ihre Arbeit präsentieren und mit Feedback umgehen. </w:t>
      </w:r>
    </w:p>
    <w:p w:rsidR="00420481" w:rsidRDefault="00420481" w:rsidP="00BF22FF">
      <w:pPr>
        <w:spacing w:before="60" w:after="60"/>
        <w:rPr>
          <w:b/>
        </w:rPr>
      </w:pPr>
    </w:p>
    <w:p w:rsidR="005A61BB" w:rsidRDefault="00E40065" w:rsidP="00BF22FF">
      <w:pPr>
        <w:spacing w:before="60" w:after="60"/>
      </w:pPr>
      <w:r>
        <w:rPr>
          <w:b/>
          <w:noProof/>
          <w:lang w:eastAsia="de-DE"/>
        </w:rPr>
        <w:drawing>
          <wp:inline distT="0" distB="0" distL="0" distR="0">
            <wp:extent cx="5759450" cy="4316858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68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065" w:rsidRDefault="00E40065" w:rsidP="00BF22FF">
      <w:pPr>
        <w:spacing w:before="60" w:after="60"/>
      </w:pPr>
    </w:p>
    <w:p w:rsidR="00E40065" w:rsidRPr="00E40065" w:rsidRDefault="00E40065" w:rsidP="00E40065">
      <w:pPr>
        <w:spacing w:before="60" w:after="60"/>
      </w:pPr>
      <w:r w:rsidRPr="00E40065">
        <w:t>Druckwerkstatt im Kulturwerk des bbk berlin GmbH</w:t>
      </w:r>
    </w:p>
    <w:p w:rsidR="00E40065" w:rsidRPr="00E40065" w:rsidRDefault="00E40065" w:rsidP="00E40065">
      <w:pPr>
        <w:spacing w:before="60" w:after="60"/>
      </w:pPr>
      <w:r w:rsidRPr="00E40065">
        <w:t>Mariannenplatz 2</w:t>
      </w:r>
      <w:r w:rsidR="009F28CA">
        <w:t>, 1</w:t>
      </w:r>
      <w:r w:rsidRPr="00E40065">
        <w:t>0997 Berlin</w:t>
      </w:r>
    </w:p>
    <w:p w:rsidR="005A61BB" w:rsidRDefault="005A61BB" w:rsidP="00BF22FF">
      <w:pPr>
        <w:spacing w:before="60" w:after="60"/>
      </w:pPr>
    </w:p>
    <w:p w:rsidR="005A61BB" w:rsidRDefault="005A61BB" w:rsidP="00BF22FF">
      <w:pPr>
        <w:spacing w:before="60" w:after="60"/>
      </w:pPr>
    </w:p>
    <w:p w:rsidR="005A61BB" w:rsidRDefault="005A61BB" w:rsidP="00BF22FF">
      <w:pPr>
        <w:spacing w:before="60" w:after="60"/>
      </w:pPr>
    </w:p>
    <w:p w:rsidR="005A61BB" w:rsidRDefault="005A61BB" w:rsidP="00BF22FF">
      <w:pPr>
        <w:spacing w:before="60" w:after="60"/>
      </w:pPr>
    </w:p>
    <w:p w:rsidR="005A61BB" w:rsidRDefault="005A61BB" w:rsidP="00BF22FF">
      <w:pPr>
        <w:spacing w:before="60" w:after="60"/>
      </w:pPr>
    </w:p>
    <w:p w:rsidR="005A61BB" w:rsidRDefault="005A61BB" w:rsidP="00BF22FF">
      <w:pPr>
        <w:spacing w:before="60" w:after="60"/>
      </w:pPr>
    </w:p>
    <w:p w:rsidR="005A61BB" w:rsidRDefault="005A61BB" w:rsidP="00BF22FF">
      <w:pPr>
        <w:spacing w:before="60" w:after="60"/>
      </w:pPr>
    </w:p>
    <w:p w:rsidR="005A61BB" w:rsidRDefault="005A61BB" w:rsidP="00BF22FF">
      <w:pPr>
        <w:spacing w:before="60" w:after="60"/>
      </w:pPr>
    </w:p>
    <w:p w:rsidR="005A61BB" w:rsidRDefault="005A61BB" w:rsidP="00BF22FF">
      <w:pPr>
        <w:spacing w:before="60" w:after="60"/>
      </w:pPr>
    </w:p>
    <w:p w:rsidR="005A61BB" w:rsidRDefault="005A61BB" w:rsidP="00BF22FF">
      <w:pPr>
        <w:spacing w:before="60" w:after="60"/>
      </w:pPr>
    </w:p>
    <w:p w:rsidR="00C2144F" w:rsidRPr="00C2144F" w:rsidRDefault="00420481" w:rsidP="0082197C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Pr="00C2144F" w:rsidRDefault="00C2144F" w:rsidP="00C2144F">
      <w:pPr>
        <w:rPr>
          <w:sz w:val="2"/>
          <w:szCs w:val="2"/>
        </w:rPr>
      </w:pP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87" w:rsidRDefault="00483C87" w:rsidP="00837EC7">
      <w:pPr>
        <w:spacing w:line="240" w:lineRule="auto"/>
      </w:pPr>
      <w:r>
        <w:separator/>
      </w:r>
    </w:p>
  </w:endnote>
  <w:endnote w:type="continuationSeparator" w:id="0">
    <w:p w:rsidR="00483C87" w:rsidRDefault="00483C8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DF1C7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87" w:rsidRDefault="00483C87" w:rsidP="00837EC7">
      <w:pPr>
        <w:spacing w:line="240" w:lineRule="auto"/>
      </w:pPr>
      <w:r>
        <w:separator/>
      </w:r>
    </w:p>
  </w:footnote>
  <w:footnote w:type="continuationSeparator" w:id="0">
    <w:p w:rsidR="00483C87" w:rsidRDefault="00483C8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70D3B"/>
    <w:rsid w:val="000A2A61"/>
    <w:rsid w:val="000A4B8B"/>
    <w:rsid w:val="0010004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20481"/>
    <w:rsid w:val="00432230"/>
    <w:rsid w:val="00445672"/>
    <w:rsid w:val="0044705F"/>
    <w:rsid w:val="0045370E"/>
    <w:rsid w:val="00467ABE"/>
    <w:rsid w:val="00483C87"/>
    <w:rsid w:val="004851BE"/>
    <w:rsid w:val="0049671A"/>
    <w:rsid w:val="00496D76"/>
    <w:rsid w:val="004C485B"/>
    <w:rsid w:val="004C5D31"/>
    <w:rsid w:val="004D5B00"/>
    <w:rsid w:val="004F3656"/>
    <w:rsid w:val="005052CB"/>
    <w:rsid w:val="00511575"/>
    <w:rsid w:val="00537A2A"/>
    <w:rsid w:val="005960DF"/>
    <w:rsid w:val="005A61BB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197C"/>
    <w:rsid w:val="00825908"/>
    <w:rsid w:val="00826C8F"/>
    <w:rsid w:val="00837854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F24E5"/>
    <w:rsid w:val="009F28CA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1C7F"/>
    <w:rsid w:val="00B94BD8"/>
    <w:rsid w:val="00B955AE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C762A"/>
    <w:rsid w:val="00DD0C30"/>
    <w:rsid w:val="00DF1C78"/>
    <w:rsid w:val="00DF308F"/>
    <w:rsid w:val="00E16A0E"/>
    <w:rsid w:val="00E16B27"/>
    <w:rsid w:val="00E40065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1AEFA-DD08-463E-8259-3A7240AC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309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2016-02-04T06:27:00Z</cp:lastPrinted>
  <dcterms:created xsi:type="dcterms:W3CDTF">2016-06-24T06:50:00Z</dcterms:created>
  <dcterms:modified xsi:type="dcterms:W3CDTF">2016-06-24T06:50:00Z</dcterms:modified>
</cp:coreProperties>
</file>