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93049" w:rsidP="00502B49">
            <w:pPr>
              <w:spacing w:before="120" w:after="200" w:line="240" w:lineRule="auto"/>
            </w:pPr>
            <w:r>
              <w:t>Theater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502B49">
            <w:pPr>
              <w:spacing w:before="120" w:after="20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290BA9" w:rsidP="00E15DC1">
            <w:pPr>
              <w:suppressAutoHyphens/>
              <w:spacing w:before="120" w:after="200" w:line="240" w:lineRule="auto"/>
            </w:pPr>
            <w:r>
              <w:t>künstlerisch-erforschende</w:t>
            </w:r>
            <w:r w:rsidR="005C232F">
              <w:t xml:space="preserve"> Arbeit mit Objekten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04388" w:rsidP="00E15DC1">
            <w:pPr>
              <w:suppressAutoHyphens/>
              <w:spacing w:before="120" w:after="200" w:line="240" w:lineRule="auto"/>
            </w:pPr>
            <w:r>
              <w:t>Gestalten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02B49">
            <w:pPr>
              <w:tabs>
                <w:tab w:val="left" w:pos="1373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93049" w:rsidP="00E15DC1">
            <w:pPr>
              <w:tabs>
                <w:tab w:val="left" w:pos="1373"/>
              </w:tabs>
              <w:suppressAutoHyphens/>
              <w:spacing w:before="120" w:after="200" w:line="240" w:lineRule="auto"/>
            </w:pPr>
            <w:r>
              <w:t>Ästhetische Gestaltungskategorien und theatrale Mittel erforschen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502B49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93049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502B49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85830" w:rsidRDefault="00F85830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Die Schülerinnen und Schüler können</w:t>
            </w:r>
          </w:p>
          <w:p w:rsidR="004A4C07" w:rsidRPr="0018633B" w:rsidRDefault="00F85830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- i</w:t>
            </w:r>
            <w:r w:rsidR="00393049">
              <w:t>ndividuelle ästhetische Erfahrungen und Gestaltungsinteressen formulieren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502B49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E2F31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ä</w:t>
            </w:r>
            <w:bookmarkStart w:id="0" w:name="_GoBack"/>
            <w:bookmarkEnd w:id="0"/>
            <w:r>
              <w:t xml:space="preserve">sthetische Gestaltungskategorien/ theatrale Mittel, </w:t>
            </w:r>
            <w:r w:rsidR="00987C77">
              <w:t>künstlerisches Arbeiten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502B49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B14E8" w:rsidRDefault="006B14E8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 xml:space="preserve">Sprachbildung: Interaktion, Produktion/Sprechen, </w:t>
            </w:r>
          </w:p>
          <w:p w:rsidR="005C16CC" w:rsidRPr="00202F49" w:rsidRDefault="006B14E8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Medienbildung: Präsentieren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502B49">
            <w:pPr>
              <w:tabs>
                <w:tab w:val="left" w:pos="1190"/>
              </w:tabs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9276A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Die Schülerinnen und Schüler können</w:t>
            </w:r>
          </w:p>
          <w:p w:rsidR="0059276A" w:rsidRDefault="0059276A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zu einem Sachverhalt […] eigene Überlegungen äußern</w:t>
            </w:r>
          </w:p>
          <w:p w:rsidR="00026E64" w:rsidRDefault="00026E64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  <w:r>
              <w:t>Einzel- und Gruppenarbeitsergebnisse vor einem Publikum präsentieren</w:t>
            </w:r>
          </w:p>
          <w:p w:rsidR="00026E64" w:rsidRPr="00202F49" w:rsidRDefault="00026E64" w:rsidP="00E15DC1">
            <w:pPr>
              <w:tabs>
                <w:tab w:val="left" w:pos="1190"/>
              </w:tabs>
              <w:suppressAutoHyphens/>
              <w:spacing w:before="120" w:after="20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02B49">
            <w:pPr>
              <w:tabs>
                <w:tab w:val="left" w:pos="840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393049">
              <w:rPr>
                <w:b/>
                <w:sz w:val="24"/>
                <w:szCs w:val="24"/>
              </w:rPr>
              <w:t xml:space="preserve"> 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02B49">
            <w:pPr>
              <w:tabs>
                <w:tab w:val="left" w:pos="1735"/>
              </w:tabs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502B49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502B49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02B49">
            <w:pPr>
              <w:spacing w:before="120" w:after="20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738B">
              <w:rPr>
                <w:b/>
              </w:rPr>
              <w:t xml:space="preserve"> </w:t>
            </w:r>
            <w:r w:rsidR="001A1C11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502B49">
            <w:pPr>
              <w:spacing w:before="120" w:after="20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8633B" w:rsidP="00502B49">
            <w:pPr>
              <w:spacing w:before="120" w:after="200" w:line="240" w:lineRule="auto"/>
            </w:pPr>
            <w:r>
              <w:t>Reflexion, Phantasie</w:t>
            </w:r>
            <w:r w:rsidR="00222B8B">
              <w:t>, Improvisation</w:t>
            </w:r>
            <w:r w:rsidR="006F4CBD">
              <w:t>, projektorientiertes Arbeiten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442CED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C477A" w:rsidRDefault="008C477A" w:rsidP="00442CED">
      <w:pPr>
        <w:suppressAutoHyphens/>
        <w:spacing w:before="60" w:after="60"/>
        <w:rPr>
          <w:sz w:val="24"/>
          <w:szCs w:val="24"/>
        </w:rPr>
      </w:pPr>
    </w:p>
    <w:p w:rsidR="008C477A" w:rsidRDefault="00B95C2D" w:rsidP="00442CED">
      <w:pPr>
        <w:suppressAutoHyphens/>
        <w:spacing w:before="60" w:after="60"/>
        <w:rPr>
          <w:u w:val="single"/>
        </w:rPr>
      </w:pPr>
      <w:r w:rsidRPr="00330E97">
        <w:rPr>
          <w:u w:val="single"/>
        </w:rPr>
        <w:t xml:space="preserve">Vorbereitung: </w:t>
      </w:r>
    </w:p>
    <w:p w:rsidR="00442CED" w:rsidRPr="00330E97" w:rsidRDefault="00442CED" w:rsidP="00442CED">
      <w:pPr>
        <w:suppressAutoHyphens/>
        <w:spacing w:before="60" w:after="60"/>
        <w:rPr>
          <w:u w:val="single"/>
        </w:rPr>
      </w:pPr>
    </w:p>
    <w:p w:rsidR="00B95C2D" w:rsidRPr="00330E97" w:rsidRDefault="00B95C2D" w:rsidP="00442CED">
      <w:pPr>
        <w:suppressAutoHyphens/>
        <w:spacing w:before="60" w:after="60"/>
      </w:pPr>
      <w:r w:rsidRPr="00330E97">
        <w:t>Für die Schülerinnen und Schüler werden viele verschiedene Gegenstände im Raum ausgelegt (z.</w:t>
      </w:r>
      <w:r w:rsidR="00642C15">
        <w:t xml:space="preserve"> </w:t>
      </w:r>
      <w:r w:rsidRPr="00330E97">
        <w:t>B. Plastiktüten, Kartons, Papprollen, große Folien, Containerboxen, Tücher, Seile, ein Hüpfball</w:t>
      </w:r>
      <w:r w:rsidR="00330E97">
        <w:t xml:space="preserve"> u.</w:t>
      </w:r>
      <w:r w:rsidR="00642C15">
        <w:t xml:space="preserve"> Ä</w:t>
      </w:r>
      <w:r w:rsidR="00330E97">
        <w:t>.</w:t>
      </w:r>
      <w:r w:rsidRPr="00330E97">
        <w:t>).</w:t>
      </w:r>
    </w:p>
    <w:p w:rsidR="00B95C2D" w:rsidRDefault="00B95C2D" w:rsidP="00442CED">
      <w:pPr>
        <w:suppressAutoHyphens/>
        <w:spacing w:before="60" w:after="60"/>
        <w:rPr>
          <w:sz w:val="24"/>
          <w:szCs w:val="24"/>
        </w:rPr>
      </w:pPr>
    </w:p>
    <w:p w:rsidR="00B95C2D" w:rsidRDefault="00B95C2D" w:rsidP="00442CED">
      <w:pPr>
        <w:suppressAutoHyphens/>
        <w:spacing w:before="60" w:after="60"/>
        <w:rPr>
          <w:sz w:val="24"/>
          <w:szCs w:val="24"/>
          <w:u w:val="single"/>
        </w:rPr>
      </w:pPr>
      <w:r w:rsidRPr="00364E19">
        <w:rPr>
          <w:sz w:val="24"/>
          <w:szCs w:val="24"/>
          <w:u w:val="single"/>
        </w:rPr>
        <w:t>Aufgabe:</w:t>
      </w:r>
    </w:p>
    <w:p w:rsidR="00442CED" w:rsidRPr="00364E19" w:rsidRDefault="00442CED" w:rsidP="00442CED">
      <w:pPr>
        <w:suppressAutoHyphens/>
        <w:spacing w:before="60" w:after="60"/>
        <w:rPr>
          <w:sz w:val="24"/>
          <w:szCs w:val="24"/>
          <w:u w:val="single"/>
        </w:rPr>
      </w:pPr>
    </w:p>
    <w:p w:rsidR="00B95C2D" w:rsidRDefault="00B95C2D" w:rsidP="00442CED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5C2D">
        <w:rPr>
          <w:sz w:val="24"/>
          <w:szCs w:val="24"/>
        </w:rPr>
        <w:t xml:space="preserve">Geht durch den Raum </w:t>
      </w:r>
      <w:r>
        <w:rPr>
          <w:sz w:val="24"/>
          <w:szCs w:val="24"/>
        </w:rPr>
        <w:t>und betrachtet alle Gegenstände darin genau. Sucht euch</w:t>
      </w:r>
      <w:r w:rsidR="00146842">
        <w:rPr>
          <w:sz w:val="24"/>
          <w:szCs w:val="24"/>
        </w:rPr>
        <w:t xml:space="preserve"> </w:t>
      </w:r>
      <w:r>
        <w:rPr>
          <w:sz w:val="24"/>
          <w:szCs w:val="24"/>
        </w:rPr>
        <w:t>einen Gegenstand aus</w:t>
      </w:r>
      <w:r w:rsidR="00146842">
        <w:rPr>
          <w:sz w:val="24"/>
          <w:szCs w:val="24"/>
        </w:rPr>
        <w:t xml:space="preserve">. Seid offen, falls </w:t>
      </w:r>
      <w:r w:rsidR="00642C15">
        <w:rPr>
          <w:sz w:val="24"/>
          <w:szCs w:val="24"/>
        </w:rPr>
        <w:t>der von euch gewählte</w:t>
      </w:r>
      <w:r w:rsidR="00146842">
        <w:rPr>
          <w:sz w:val="24"/>
          <w:szCs w:val="24"/>
        </w:rPr>
        <w:t xml:space="preserve"> Gegenstand schon </w:t>
      </w:r>
      <w:r w:rsidR="00642C15">
        <w:rPr>
          <w:sz w:val="24"/>
          <w:szCs w:val="24"/>
        </w:rPr>
        <w:t>vergeben</w:t>
      </w:r>
      <w:r w:rsidR="00146842">
        <w:rPr>
          <w:sz w:val="24"/>
          <w:szCs w:val="24"/>
        </w:rPr>
        <w:t xml:space="preserve"> sein sollte und findet einen neuen Gegenstand. Setzt euch entspannt daneben auf den Boden. </w:t>
      </w:r>
    </w:p>
    <w:p w:rsidR="00364E19" w:rsidRDefault="00364E19" w:rsidP="00442CED">
      <w:pPr>
        <w:suppressAutoHyphens/>
        <w:spacing w:before="60" w:after="60"/>
        <w:rPr>
          <w:sz w:val="24"/>
          <w:szCs w:val="24"/>
        </w:rPr>
      </w:pPr>
    </w:p>
    <w:p w:rsidR="00146842" w:rsidRDefault="00146842" w:rsidP="00442CED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2. Schließt die Augen. Stellt euch vor, ihr seid auf einem fremden Planeten gelandet. Wenn ihr die Augen öffnet, seht ihr als </w:t>
      </w:r>
      <w:r w:rsidR="00642C15">
        <w:rPr>
          <w:sz w:val="24"/>
          <w:szCs w:val="24"/>
        </w:rPr>
        <w:t>E</w:t>
      </w:r>
      <w:r>
        <w:rPr>
          <w:sz w:val="24"/>
          <w:szCs w:val="24"/>
        </w:rPr>
        <w:t xml:space="preserve">rstes ein rätselhaftes, fremdes Etwas. </w:t>
      </w:r>
      <w:r w:rsidR="004E782F">
        <w:rPr>
          <w:sz w:val="24"/>
          <w:szCs w:val="24"/>
        </w:rPr>
        <w:t xml:space="preserve">Untersucht es: Wie sieht es aus, </w:t>
      </w:r>
      <w:r w:rsidR="00642C15">
        <w:rPr>
          <w:sz w:val="24"/>
          <w:szCs w:val="24"/>
        </w:rPr>
        <w:t xml:space="preserve">wie </w:t>
      </w:r>
      <w:r w:rsidR="004E782F">
        <w:rPr>
          <w:sz w:val="24"/>
          <w:szCs w:val="24"/>
        </w:rPr>
        <w:t>fühlt es sich an, wie riecht es, macht es Geräusche …?</w:t>
      </w:r>
      <w:r w:rsidR="00364E19">
        <w:rPr>
          <w:sz w:val="24"/>
          <w:szCs w:val="24"/>
        </w:rPr>
        <w:t xml:space="preserve"> </w:t>
      </w:r>
      <w:proofErr w:type="gramStart"/>
      <w:r w:rsidR="00364E19">
        <w:rPr>
          <w:sz w:val="24"/>
          <w:szCs w:val="24"/>
        </w:rPr>
        <w:t>Seid</w:t>
      </w:r>
      <w:proofErr w:type="gramEnd"/>
      <w:r w:rsidR="00364E19">
        <w:rPr>
          <w:sz w:val="24"/>
          <w:szCs w:val="24"/>
        </w:rPr>
        <w:t xml:space="preserve"> </w:t>
      </w:r>
      <w:r w:rsidR="004E782F">
        <w:rPr>
          <w:sz w:val="24"/>
          <w:szCs w:val="24"/>
        </w:rPr>
        <w:t>sehr aufmerksame Forscherinnen und Forscher.</w:t>
      </w:r>
    </w:p>
    <w:p w:rsidR="003C03E7" w:rsidRDefault="003C03E7" w:rsidP="00442CED">
      <w:pPr>
        <w:suppressAutoHyphens/>
        <w:spacing w:before="60" w:after="60"/>
        <w:rPr>
          <w:sz w:val="24"/>
          <w:szCs w:val="24"/>
        </w:rPr>
      </w:pPr>
    </w:p>
    <w:p w:rsidR="00364E19" w:rsidRDefault="00205E62" w:rsidP="00442CED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3. Gebt nun den anderen einen kurzen Forschungsbericht. Zeigt dazu nochmals euren Gegenstand und beschreibt, was ihr beim Untersuchen erlebt und wahrgenommen habt.</w:t>
      </w:r>
    </w:p>
    <w:p w:rsidR="00364E19" w:rsidRDefault="00364E19" w:rsidP="00442CED">
      <w:pPr>
        <w:suppressAutoHyphens/>
        <w:spacing w:before="60" w:after="60"/>
        <w:rPr>
          <w:sz w:val="24"/>
          <w:szCs w:val="24"/>
        </w:rPr>
      </w:pPr>
    </w:p>
    <w:p w:rsidR="005126E8" w:rsidRDefault="00205E62" w:rsidP="00442CED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26E8">
        <w:rPr>
          <w:sz w:val="24"/>
          <w:szCs w:val="24"/>
        </w:rPr>
        <w:t>Was möchtest du gern mit deinem Gegenstand auf der Bühne gestalten oder ausprobieren? Findet euch zu zweit zusammen und entwickelt im kreativen Austausch für jede/</w:t>
      </w:r>
      <w:r w:rsidR="00642C15">
        <w:rPr>
          <w:sz w:val="24"/>
          <w:szCs w:val="24"/>
        </w:rPr>
        <w:t>jede</w:t>
      </w:r>
      <w:r w:rsidR="005126E8">
        <w:rPr>
          <w:sz w:val="24"/>
          <w:szCs w:val="24"/>
        </w:rPr>
        <w:t xml:space="preserve">n von euch eine </w:t>
      </w:r>
      <w:r w:rsidR="00592E50">
        <w:rPr>
          <w:sz w:val="24"/>
          <w:szCs w:val="24"/>
        </w:rPr>
        <w:t xml:space="preserve">phantasievolle </w:t>
      </w:r>
      <w:r w:rsidR="005126E8">
        <w:rPr>
          <w:sz w:val="24"/>
          <w:szCs w:val="24"/>
        </w:rPr>
        <w:t>Gestaltungsidee mit eurem Gegenstand.</w:t>
      </w:r>
    </w:p>
    <w:p w:rsidR="005126E8" w:rsidRDefault="005126E8" w:rsidP="00442CED">
      <w:pPr>
        <w:suppressAutoHyphens/>
        <w:spacing w:before="60" w:after="60"/>
        <w:rPr>
          <w:sz w:val="24"/>
          <w:szCs w:val="24"/>
        </w:rPr>
      </w:pPr>
    </w:p>
    <w:p w:rsidR="005126E8" w:rsidRDefault="005126E8" w:rsidP="00442CED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Stelle deine Idee dann den anderen</w:t>
      </w:r>
      <w:r w:rsidR="00B92987">
        <w:rPr>
          <w:sz w:val="24"/>
          <w:szCs w:val="24"/>
        </w:rPr>
        <w:t xml:space="preserve"> vor: Beschreibe und zeige sie.</w:t>
      </w:r>
    </w:p>
    <w:p w:rsidR="00205E62" w:rsidRPr="00B95C2D" w:rsidRDefault="00205E62" w:rsidP="00442CED">
      <w:pPr>
        <w:suppressAutoHyphens/>
        <w:spacing w:before="60" w:after="60"/>
        <w:rPr>
          <w:sz w:val="24"/>
          <w:szCs w:val="24"/>
        </w:rPr>
      </w:pPr>
    </w:p>
    <w:p w:rsidR="00420481" w:rsidRDefault="00420481" w:rsidP="00442CED">
      <w:pPr>
        <w:suppressAutoHyphens/>
        <w:spacing w:before="60" w:after="60"/>
        <w:rPr>
          <w:b/>
        </w:rPr>
      </w:pPr>
    </w:p>
    <w:p w:rsidR="00420481" w:rsidRDefault="00420481" w:rsidP="00442CED">
      <w:pPr>
        <w:suppressAutoHyphens/>
        <w:spacing w:before="60" w:after="60"/>
        <w:rPr>
          <w:b/>
        </w:rPr>
      </w:pPr>
    </w:p>
    <w:p w:rsidR="00502B49" w:rsidRDefault="00502B49" w:rsidP="00442CED">
      <w:pPr>
        <w:suppressAutoHyphens/>
        <w:spacing w:before="60" w:after="60"/>
        <w:rPr>
          <w:b/>
        </w:rPr>
      </w:pPr>
    </w:p>
    <w:p w:rsidR="00502B49" w:rsidRDefault="00502B49" w:rsidP="00442CED">
      <w:pPr>
        <w:suppressAutoHyphens/>
        <w:spacing w:before="60" w:after="60"/>
        <w:rPr>
          <w:b/>
        </w:rPr>
      </w:pPr>
    </w:p>
    <w:p w:rsidR="00502B49" w:rsidRDefault="00502B49" w:rsidP="00442CED">
      <w:pPr>
        <w:suppressAutoHyphens/>
        <w:spacing w:before="60" w:after="60"/>
        <w:rPr>
          <w:b/>
        </w:rPr>
      </w:pPr>
    </w:p>
    <w:p w:rsidR="00502B49" w:rsidRDefault="00502B49" w:rsidP="00442CED">
      <w:pPr>
        <w:suppressAutoHyphens/>
        <w:spacing w:before="60" w:after="60"/>
        <w:rPr>
          <w:b/>
        </w:rPr>
      </w:pPr>
    </w:p>
    <w:p w:rsidR="00502B49" w:rsidRDefault="00502B49" w:rsidP="00442CED">
      <w:pPr>
        <w:suppressAutoHyphens/>
        <w:spacing w:before="60" w:after="60"/>
        <w:rPr>
          <w:b/>
        </w:rPr>
      </w:pPr>
    </w:p>
    <w:p w:rsidR="00420481" w:rsidRDefault="00420481" w:rsidP="00442CED">
      <w:pPr>
        <w:suppressAutoHyphens/>
        <w:spacing w:before="60" w:after="60"/>
        <w:rPr>
          <w:b/>
        </w:rPr>
      </w:pPr>
    </w:p>
    <w:p w:rsidR="00937B60" w:rsidRDefault="006D084A" w:rsidP="00442CED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442CED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502B49" w:rsidRDefault="00502B49" w:rsidP="00442CED">
      <w:pPr>
        <w:suppressAutoHyphens/>
        <w:spacing w:before="60" w:after="60"/>
        <w:rPr>
          <w:b/>
        </w:rPr>
      </w:pPr>
    </w:p>
    <w:p w:rsidR="00364E19" w:rsidRDefault="00364E19" w:rsidP="00442CED">
      <w:pPr>
        <w:suppressAutoHyphens/>
        <w:spacing w:before="60" w:after="60"/>
      </w:pPr>
      <w:r>
        <w:t xml:space="preserve">Zu 2. </w:t>
      </w:r>
      <w:r w:rsidR="00E847E5">
        <w:t xml:space="preserve">Die Schülerinnen und Schüler </w:t>
      </w:r>
      <w:r>
        <w:t xml:space="preserve">versetzen sich phantasievoll und konzentriert in die vorgeschlagene Situation und untersuchen und erforschen ihren Gegenstand mit allen Sinnen. </w:t>
      </w:r>
    </w:p>
    <w:p w:rsidR="006356CD" w:rsidRDefault="00364E19" w:rsidP="00442CED">
      <w:pPr>
        <w:suppressAutoHyphens/>
        <w:spacing w:before="60" w:after="60"/>
      </w:pPr>
      <w:r>
        <w:t xml:space="preserve">Zu 3. </w:t>
      </w:r>
      <w:r w:rsidR="006356CD">
        <w:t>Als</w:t>
      </w:r>
      <w:r w:rsidR="00642C15">
        <w:t xml:space="preserve"> </w:t>
      </w:r>
      <w:r w:rsidR="006356CD">
        <w:t>Forscherin</w:t>
      </w:r>
      <w:r w:rsidR="00642C15">
        <w:t xml:space="preserve"> oder </w:t>
      </w:r>
      <w:r w:rsidR="006356CD">
        <w:t>Forscher beschreiben sie den anderen ihre Erlebnisse und Wahrnehmungen mit dem Gegenstand, sie f</w:t>
      </w:r>
      <w:r w:rsidR="00A62FEB">
        <w:t xml:space="preserve">ormulieren individuell und aktivieren </w:t>
      </w:r>
      <w:r w:rsidR="006356CD">
        <w:t xml:space="preserve">möglichst </w:t>
      </w:r>
      <w:r w:rsidR="00A62FEB">
        <w:t xml:space="preserve">konkrete sinnliche Details. </w:t>
      </w:r>
    </w:p>
    <w:p w:rsidR="00C2144F" w:rsidRPr="00A54FFD" w:rsidRDefault="006356CD" w:rsidP="00442CED">
      <w:pPr>
        <w:suppressAutoHyphens/>
        <w:spacing w:before="60" w:after="60"/>
      </w:pPr>
      <w:r>
        <w:t xml:space="preserve">Zu 4. </w:t>
      </w:r>
      <w:r w:rsidR="00592E50">
        <w:t>Im kreativen Austausch zu zweit erproben sie erste Ansätze, aus individuellen Wahrnehmungen Gestaltungsinteressen und ggf. Ideen zu entwickeln und zu formulieren.</w:t>
      </w:r>
    </w:p>
    <w:p w:rsidR="00420481" w:rsidRDefault="00420481" w:rsidP="00442CED">
      <w:pPr>
        <w:suppressAutoHyphens/>
        <w:spacing w:before="60" w:after="60"/>
        <w:rPr>
          <w:b/>
        </w:rPr>
      </w:pPr>
    </w:p>
    <w:p w:rsidR="00222B8B" w:rsidRDefault="00222B8B" w:rsidP="00442CED">
      <w:pPr>
        <w:suppressAutoHyphens/>
        <w:spacing w:before="60" w:after="60"/>
        <w:rPr>
          <w:b/>
        </w:rPr>
      </w:pPr>
    </w:p>
    <w:p w:rsidR="003C03E7" w:rsidRDefault="00BA0717" w:rsidP="00442CED">
      <w:pPr>
        <w:suppressAutoHyphens/>
        <w:spacing w:before="60" w:after="60"/>
        <w:rPr>
          <w:b/>
        </w:rPr>
      </w:pPr>
      <w:r w:rsidRPr="003C03E7">
        <w:rPr>
          <w:b/>
        </w:rPr>
        <w:t>Kommentar</w:t>
      </w:r>
    </w:p>
    <w:p w:rsidR="00442CED" w:rsidRPr="003C03E7" w:rsidRDefault="00442CED" w:rsidP="00442CED">
      <w:pPr>
        <w:suppressAutoHyphens/>
        <w:spacing w:before="60" w:after="60"/>
        <w:rPr>
          <w:b/>
        </w:rPr>
      </w:pPr>
    </w:p>
    <w:p w:rsidR="00BA0717" w:rsidRPr="003C03E7" w:rsidRDefault="003C03E7" w:rsidP="00442CED">
      <w:pPr>
        <w:suppressAutoHyphens/>
        <w:spacing w:before="60" w:after="60"/>
      </w:pPr>
      <w:r w:rsidRPr="003C03E7">
        <w:t>Z</w:t>
      </w:r>
      <w:r w:rsidR="00BA0717" w:rsidRPr="003C03E7">
        <w:t>u 2.</w:t>
      </w:r>
      <w:r>
        <w:t xml:space="preserve"> </w:t>
      </w:r>
      <w:r w:rsidR="00BA0717" w:rsidRPr="003C03E7">
        <w:t>Die Lehrkraft beendet die Übung (z.</w:t>
      </w:r>
      <w:r w:rsidR="00642C15">
        <w:t xml:space="preserve"> </w:t>
      </w:r>
      <w:r w:rsidR="00BA0717" w:rsidRPr="003C03E7">
        <w:t>B.: Kommt langsam zum Ende eurer Untersuchung. – Löst euch von eurem Gegenstand, zeigt dabei und durch die Art eures Hinsetzens, welches Verhältnis ihr jetzt zu dem Gegenstand habt</w:t>
      </w:r>
      <w:r w:rsidRPr="003C03E7">
        <w:t>.</w:t>
      </w:r>
      <w:r w:rsidR="00BA0717" w:rsidRPr="003C03E7">
        <w:t>).</w:t>
      </w:r>
    </w:p>
    <w:p w:rsidR="003C03E7" w:rsidRPr="003C03E7" w:rsidRDefault="003C03E7" w:rsidP="00442CED">
      <w:pPr>
        <w:suppressAutoHyphens/>
        <w:spacing w:before="60" w:after="60"/>
      </w:pPr>
      <w:r w:rsidRPr="003C03E7">
        <w:t>Zu 3. Die Lehrkraft achtet auf individuelles Darstellen und bestärkt im Beschreiben von (verschiedenen) Sinneseindrücken.</w:t>
      </w:r>
    </w:p>
    <w:p w:rsidR="003C03E7" w:rsidRPr="003C03E7" w:rsidRDefault="003C03E7" w:rsidP="00442CED">
      <w:pPr>
        <w:suppressAutoHyphens/>
        <w:spacing w:before="60" w:after="60"/>
      </w:pPr>
      <w:r w:rsidRPr="003C03E7">
        <w:t>Zu 4.</w:t>
      </w:r>
      <w:r>
        <w:t xml:space="preserve"> </w:t>
      </w:r>
      <w:r w:rsidRPr="003C03E7">
        <w:t>Sollte dabei eine Idee für beide Objekte entstehen, ist das natürlich auch interessant.</w:t>
      </w:r>
    </w:p>
    <w:p w:rsidR="003C03E7" w:rsidRPr="003C03E7" w:rsidRDefault="003C03E7" w:rsidP="00442CED">
      <w:pPr>
        <w:suppressAutoHyphens/>
        <w:spacing w:before="60" w:after="60"/>
      </w:pPr>
    </w:p>
    <w:p w:rsidR="00BA0717" w:rsidRDefault="00BA0717" w:rsidP="00442CED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02B49" w:rsidRDefault="00502B49" w:rsidP="00BF22FF">
      <w:pPr>
        <w:spacing w:before="60" w:after="60"/>
      </w:pPr>
    </w:p>
    <w:p w:rsidR="00502B49" w:rsidRDefault="00502B49" w:rsidP="00BF22FF">
      <w:pPr>
        <w:spacing w:before="60" w:after="60"/>
      </w:pPr>
    </w:p>
    <w:p w:rsidR="00502B49" w:rsidRDefault="00502B49" w:rsidP="00BF22FF">
      <w:pPr>
        <w:spacing w:before="60" w:after="60"/>
      </w:pPr>
    </w:p>
    <w:p w:rsidR="00502B49" w:rsidRDefault="00502B49" w:rsidP="00BF22FF">
      <w:pPr>
        <w:spacing w:before="60" w:after="60"/>
      </w:pPr>
    </w:p>
    <w:p w:rsidR="00502B49" w:rsidRDefault="00502B49" w:rsidP="00BF22FF">
      <w:pPr>
        <w:spacing w:before="60" w:after="60"/>
      </w:pPr>
    </w:p>
    <w:p w:rsidR="008119C5" w:rsidRPr="00C2144F" w:rsidRDefault="00502B49" w:rsidP="00E15DC1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90" w:rsidRDefault="00B31E90" w:rsidP="00837EC7">
      <w:pPr>
        <w:spacing w:line="240" w:lineRule="auto"/>
      </w:pPr>
      <w:r>
        <w:separator/>
      </w:r>
    </w:p>
  </w:endnote>
  <w:endnote w:type="continuationSeparator" w:id="0">
    <w:p w:rsidR="00B31E90" w:rsidRDefault="00B31E9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725A4">
          <w:fldChar w:fldCharType="begin"/>
        </w:r>
        <w:r w:rsidR="000F6F15">
          <w:instrText xml:space="preserve"> PAGE   \* MERGEFORMAT </w:instrText>
        </w:r>
        <w:r w:rsidR="005725A4">
          <w:fldChar w:fldCharType="separate"/>
        </w:r>
        <w:r w:rsidR="00C561F5">
          <w:rPr>
            <w:noProof/>
          </w:rPr>
          <w:t>1</w:t>
        </w:r>
        <w:r w:rsidR="005725A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90" w:rsidRDefault="00B31E90" w:rsidP="00837EC7">
      <w:pPr>
        <w:spacing w:line="240" w:lineRule="auto"/>
      </w:pPr>
      <w:r>
        <w:separator/>
      </w:r>
    </w:p>
  </w:footnote>
  <w:footnote w:type="continuationSeparator" w:id="0">
    <w:p w:rsidR="00B31E90" w:rsidRDefault="00B31E9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AE9"/>
    <w:multiLevelType w:val="hybridMultilevel"/>
    <w:tmpl w:val="5C489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17962"/>
    <w:rsid w:val="00026E64"/>
    <w:rsid w:val="000276C3"/>
    <w:rsid w:val="00032324"/>
    <w:rsid w:val="0004165F"/>
    <w:rsid w:val="00053558"/>
    <w:rsid w:val="000636E4"/>
    <w:rsid w:val="0009504F"/>
    <w:rsid w:val="000A2A61"/>
    <w:rsid w:val="000A4B8B"/>
    <w:rsid w:val="000F0D86"/>
    <w:rsid w:val="000F6F15"/>
    <w:rsid w:val="00133562"/>
    <w:rsid w:val="00136172"/>
    <w:rsid w:val="00142DFA"/>
    <w:rsid w:val="00146842"/>
    <w:rsid w:val="00151C7F"/>
    <w:rsid w:val="00155F4E"/>
    <w:rsid w:val="001634E6"/>
    <w:rsid w:val="00163D87"/>
    <w:rsid w:val="00185133"/>
    <w:rsid w:val="0018633B"/>
    <w:rsid w:val="001A1C11"/>
    <w:rsid w:val="001A71B9"/>
    <w:rsid w:val="001B043E"/>
    <w:rsid w:val="001C3197"/>
    <w:rsid w:val="001E0516"/>
    <w:rsid w:val="001F319E"/>
    <w:rsid w:val="00202F49"/>
    <w:rsid w:val="00205E62"/>
    <w:rsid w:val="00206E1F"/>
    <w:rsid w:val="00222B8B"/>
    <w:rsid w:val="002348B8"/>
    <w:rsid w:val="00270DFC"/>
    <w:rsid w:val="00290BA9"/>
    <w:rsid w:val="002A04B8"/>
    <w:rsid w:val="002A2294"/>
    <w:rsid w:val="002B14FC"/>
    <w:rsid w:val="002B4CFA"/>
    <w:rsid w:val="002D3F70"/>
    <w:rsid w:val="002D55C9"/>
    <w:rsid w:val="002E1682"/>
    <w:rsid w:val="002E52E3"/>
    <w:rsid w:val="002F3C8C"/>
    <w:rsid w:val="002F402D"/>
    <w:rsid w:val="002F7F70"/>
    <w:rsid w:val="00300E1A"/>
    <w:rsid w:val="003113ED"/>
    <w:rsid w:val="00321743"/>
    <w:rsid w:val="00330E97"/>
    <w:rsid w:val="00334567"/>
    <w:rsid w:val="00363539"/>
    <w:rsid w:val="00364E19"/>
    <w:rsid w:val="00381AB2"/>
    <w:rsid w:val="00393049"/>
    <w:rsid w:val="003C03E7"/>
    <w:rsid w:val="003F4234"/>
    <w:rsid w:val="0040115E"/>
    <w:rsid w:val="00404388"/>
    <w:rsid w:val="004072A0"/>
    <w:rsid w:val="00411347"/>
    <w:rsid w:val="0041518F"/>
    <w:rsid w:val="00420481"/>
    <w:rsid w:val="00432230"/>
    <w:rsid w:val="00442CED"/>
    <w:rsid w:val="00445672"/>
    <w:rsid w:val="0045370E"/>
    <w:rsid w:val="00467ABE"/>
    <w:rsid w:val="004851BE"/>
    <w:rsid w:val="00490C5F"/>
    <w:rsid w:val="0049671A"/>
    <w:rsid w:val="00496D76"/>
    <w:rsid w:val="004A4C07"/>
    <w:rsid w:val="004C485B"/>
    <w:rsid w:val="004C5D31"/>
    <w:rsid w:val="004E782F"/>
    <w:rsid w:val="004F3656"/>
    <w:rsid w:val="00502B49"/>
    <w:rsid w:val="005052CB"/>
    <w:rsid w:val="00511575"/>
    <w:rsid w:val="005126E8"/>
    <w:rsid w:val="00537A2A"/>
    <w:rsid w:val="005424F3"/>
    <w:rsid w:val="00553920"/>
    <w:rsid w:val="005725A4"/>
    <w:rsid w:val="0059276A"/>
    <w:rsid w:val="00592E50"/>
    <w:rsid w:val="005960DF"/>
    <w:rsid w:val="005A3F7E"/>
    <w:rsid w:val="005C16CC"/>
    <w:rsid w:val="005C232F"/>
    <w:rsid w:val="005F1ACA"/>
    <w:rsid w:val="005F2D41"/>
    <w:rsid w:val="0062301A"/>
    <w:rsid w:val="00631EE6"/>
    <w:rsid w:val="006356CD"/>
    <w:rsid w:val="00642C15"/>
    <w:rsid w:val="00677337"/>
    <w:rsid w:val="006A22F8"/>
    <w:rsid w:val="006A599E"/>
    <w:rsid w:val="006B14E8"/>
    <w:rsid w:val="006C713F"/>
    <w:rsid w:val="006D084A"/>
    <w:rsid w:val="006D5EEA"/>
    <w:rsid w:val="006D719E"/>
    <w:rsid w:val="006F4CBD"/>
    <w:rsid w:val="007024FB"/>
    <w:rsid w:val="007357B6"/>
    <w:rsid w:val="007621DD"/>
    <w:rsid w:val="00792902"/>
    <w:rsid w:val="007A10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0B1"/>
    <w:rsid w:val="00837EC7"/>
    <w:rsid w:val="0084187F"/>
    <w:rsid w:val="008A1768"/>
    <w:rsid w:val="008B1D49"/>
    <w:rsid w:val="008B6E6E"/>
    <w:rsid w:val="008C477A"/>
    <w:rsid w:val="008D5758"/>
    <w:rsid w:val="008E2ED1"/>
    <w:rsid w:val="008E7D45"/>
    <w:rsid w:val="008F053E"/>
    <w:rsid w:val="008F78E6"/>
    <w:rsid w:val="009053EA"/>
    <w:rsid w:val="00937B60"/>
    <w:rsid w:val="0095558E"/>
    <w:rsid w:val="00971722"/>
    <w:rsid w:val="00987C77"/>
    <w:rsid w:val="009A1D85"/>
    <w:rsid w:val="009B046A"/>
    <w:rsid w:val="009F42E4"/>
    <w:rsid w:val="00A20523"/>
    <w:rsid w:val="00A366CC"/>
    <w:rsid w:val="00A37569"/>
    <w:rsid w:val="00A528DF"/>
    <w:rsid w:val="00A54FFD"/>
    <w:rsid w:val="00A57E9B"/>
    <w:rsid w:val="00A62FEB"/>
    <w:rsid w:val="00A804F8"/>
    <w:rsid w:val="00A828A1"/>
    <w:rsid w:val="00A973E5"/>
    <w:rsid w:val="00AB509B"/>
    <w:rsid w:val="00AD39E6"/>
    <w:rsid w:val="00AE2D84"/>
    <w:rsid w:val="00AE3A55"/>
    <w:rsid w:val="00AE4233"/>
    <w:rsid w:val="00AF62B9"/>
    <w:rsid w:val="00AF642E"/>
    <w:rsid w:val="00B0329C"/>
    <w:rsid w:val="00B12395"/>
    <w:rsid w:val="00B17FF0"/>
    <w:rsid w:val="00B31E90"/>
    <w:rsid w:val="00B542E5"/>
    <w:rsid w:val="00B768A0"/>
    <w:rsid w:val="00B92987"/>
    <w:rsid w:val="00B94BD8"/>
    <w:rsid w:val="00B95C2D"/>
    <w:rsid w:val="00BA0717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240A"/>
    <w:rsid w:val="00C2632F"/>
    <w:rsid w:val="00C47F23"/>
    <w:rsid w:val="00C561F5"/>
    <w:rsid w:val="00C6552D"/>
    <w:rsid w:val="00C752F4"/>
    <w:rsid w:val="00CB3549"/>
    <w:rsid w:val="00D0707C"/>
    <w:rsid w:val="00D226DE"/>
    <w:rsid w:val="00D270BC"/>
    <w:rsid w:val="00D41BE0"/>
    <w:rsid w:val="00D759AB"/>
    <w:rsid w:val="00DC762A"/>
    <w:rsid w:val="00DD0C30"/>
    <w:rsid w:val="00DF308F"/>
    <w:rsid w:val="00DF340D"/>
    <w:rsid w:val="00E15DC1"/>
    <w:rsid w:val="00E16A0E"/>
    <w:rsid w:val="00E16AED"/>
    <w:rsid w:val="00E16B27"/>
    <w:rsid w:val="00E27C56"/>
    <w:rsid w:val="00E579BF"/>
    <w:rsid w:val="00E72519"/>
    <w:rsid w:val="00E847E5"/>
    <w:rsid w:val="00E84ADD"/>
    <w:rsid w:val="00E85DB9"/>
    <w:rsid w:val="00E86529"/>
    <w:rsid w:val="00EA4734"/>
    <w:rsid w:val="00EA5291"/>
    <w:rsid w:val="00EB063D"/>
    <w:rsid w:val="00EB070D"/>
    <w:rsid w:val="00EC1F75"/>
    <w:rsid w:val="00EC51CF"/>
    <w:rsid w:val="00EC68C4"/>
    <w:rsid w:val="00ED0EC3"/>
    <w:rsid w:val="00ED5E50"/>
    <w:rsid w:val="00EE1EC5"/>
    <w:rsid w:val="00EE5353"/>
    <w:rsid w:val="00F15356"/>
    <w:rsid w:val="00F17F92"/>
    <w:rsid w:val="00F2257F"/>
    <w:rsid w:val="00F24E04"/>
    <w:rsid w:val="00F372D1"/>
    <w:rsid w:val="00F5187C"/>
    <w:rsid w:val="00F5738B"/>
    <w:rsid w:val="00F62F9E"/>
    <w:rsid w:val="00F85379"/>
    <w:rsid w:val="00F85830"/>
    <w:rsid w:val="00F86862"/>
    <w:rsid w:val="00FA0BB9"/>
    <w:rsid w:val="00FE2F31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F402D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F402D"/>
    <w:rPr>
      <w:rFonts w:ascii="Times New Roman" w:hAnsi="Times New Roman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F402D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2B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B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2B8B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2B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2B8B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12E24-E394-4422-8356-6B748C6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2016-03-01T10:25:00Z</cp:lastPrinted>
  <dcterms:created xsi:type="dcterms:W3CDTF">2016-03-18T12:14:00Z</dcterms:created>
  <dcterms:modified xsi:type="dcterms:W3CDTF">2016-03-18T12:15:00Z</dcterms:modified>
</cp:coreProperties>
</file>