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49" w:rsidRDefault="00202F49" w:rsidP="00B94BD8">
      <w:pPr>
        <w:spacing w:after="120"/>
      </w:pPr>
    </w:p>
    <w:p w:rsidR="00CA0AF0" w:rsidRPr="008119C5" w:rsidRDefault="00CA0AF0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CA0AF0" w:rsidP="00321743">
            <w:pPr>
              <w:spacing w:before="200" w:after="200"/>
            </w:pPr>
            <w:r>
              <w:t>Theater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6525BA" w:rsidP="00321743">
            <w:pPr>
              <w:spacing w:before="200" w:after="200"/>
            </w:pPr>
            <w:r>
              <w:t>Reflektieren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6525BA" w:rsidP="00321743">
            <w:pPr>
              <w:tabs>
                <w:tab w:val="left" w:pos="1373"/>
              </w:tabs>
              <w:spacing w:before="200" w:after="200"/>
            </w:pPr>
            <w:r>
              <w:t>Über Gestaltungs-und Gruppenhandeln reflektieren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4B181C" w:rsidP="00BE7704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4B181C" w:rsidRDefault="004B181C" w:rsidP="004B181C">
            <w:r w:rsidRPr="00DB59D4">
              <w:t>Die Schülerinnen und Schüler können</w:t>
            </w:r>
            <w:r>
              <w:t>:</w:t>
            </w:r>
          </w:p>
          <w:p w:rsidR="008E2ED1" w:rsidRPr="00A91657" w:rsidRDefault="004B181C" w:rsidP="004B181C">
            <w:pPr>
              <w:rPr>
                <w:rFonts w:cs="Arial"/>
              </w:rPr>
            </w:pPr>
            <w:r>
              <w:t>-</w:t>
            </w:r>
            <w:r w:rsidRPr="00DB59D4">
              <w:t xml:space="preserve"> mit Unterstützung eigene Eindrücke reflektierend beschreiben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B94BD8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4B181C">
              <w:rPr>
                <w:b/>
                <w:sz w:val="24"/>
                <w:szCs w:val="24"/>
              </w:rPr>
              <w:t xml:space="preserve">    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CA0AF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CA0AF0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F17F92" w:rsidRPr="008119C5">
              <w:rPr>
                <w:b/>
              </w:rPr>
              <w:t>eschlossen</w:t>
            </w:r>
            <w:r w:rsidR="00C653C4">
              <w:rPr>
                <w:b/>
              </w:rPr>
              <w:t xml:space="preserve"> 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927D85" w:rsidRPr="008A1768" w:rsidRDefault="00231B0D" w:rsidP="00321743">
            <w:pPr>
              <w:spacing w:before="200" w:after="200"/>
            </w:pPr>
            <w:r>
              <w:rPr>
                <w:rFonts w:cs="Arial"/>
              </w:rPr>
              <w:t>Feedback/Auswertung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721E6E" w:rsidRPr="00F5187C" w:rsidRDefault="00721E6E" w:rsidP="00BF22FF">
      <w:pPr>
        <w:spacing w:before="60" w:after="60"/>
        <w:rPr>
          <w:b/>
          <w:sz w:val="24"/>
          <w:szCs w:val="24"/>
        </w:rPr>
      </w:pPr>
    </w:p>
    <w:p w:rsidR="004B181C" w:rsidRDefault="002A16D1" w:rsidP="004B181C">
      <w:r>
        <w:t>1. Betrachtet die Bilder</w:t>
      </w:r>
      <w:r w:rsidR="004B181C">
        <w:t>. Beschreibt, was ihr darauf seht.</w:t>
      </w:r>
    </w:p>
    <w:p w:rsidR="0092202F" w:rsidRDefault="0092202F" w:rsidP="004B181C"/>
    <w:p w:rsidR="004B181C" w:rsidRDefault="004B181C" w:rsidP="004B181C">
      <w:r>
        <w:t>2. Stellt Vermutungen an: In welcher Stimmung sind die Personen auf dem Bild, wie ist das Verhältnis zueinander?</w:t>
      </w:r>
    </w:p>
    <w:p w:rsidR="0092202F" w:rsidRDefault="0092202F" w:rsidP="004B181C"/>
    <w:p w:rsidR="004B181C" w:rsidRDefault="004B181C" w:rsidP="004B181C">
      <w:r>
        <w:t>3. S</w:t>
      </w:r>
      <w:r w:rsidR="008276C6">
        <w:t xml:space="preserve">chlüpft in die Rolle der </w:t>
      </w:r>
      <w:r>
        <w:t>Personen und entwickelt eine kurze Szene zum Bild.</w:t>
      </w:r>
    </w:p>
    <w:p w:rsidR="004B181C" w:rsidRDefault="004B181C" w:rsidP="004B181C"/>
    <w:p w:rsidR="004B181C" w:rsidRPr="00665300" w:rsidRDefault="004B181C" w:rsidP="004B181C">
      <w:pPr>
        <w:rPr>
          <w:u w:val="single"/>
        </w:rPr>
      </w:pPr>
      <w:r w:rsidRPr="00665300">
        <w:rPr>
          <w:u w:val="single"/>
        </w:rPr>
        <w:t>Variante</w:t>
      </w:r>
      <w:r w:rsidR="00490075">
        <w:rPr>
          <w:u w:val="single"/>
        </w:rPr>
        <w:t>n</w:t>
      </w:r>
      <w:r w:rsidRPr="00665300">
        <w:rPr>
          <w:u w:val="single"/>
        </w:rPr>
        <w:t>:</w:t>
      </w:r>
    </w:p>
    <w:p w:rsidR="00D75239" w:rsidRDefault="002A16D1" w:rsidP="004B181C">
      <w:r>
        <w:t xml:space="preserve">- Es können auch Bilder aus journalistischen Medien </w:t>
      </w:r>
      <w:r w:rsidR="004B181C">
        <w:t>genutzt werden.</w:t>
      </w:r>
      <w:r w:rsidR="008276C6">
        <w:t xml:space="preserve"> </w:t>
      </w:r>
    </w:p>
    <w:p w:rsidR="004B181C" w:rsidRDefault="002A16D1" w:rsidP="004B181C">
      <w:r>
        <w:t>- Die Kursteilnehmenden</w:t>
      </w:r>
      <w:r w:rsidR="004B181C">
        <w:t xml:space="preserve"> können die Bilder in die Hand bekommen oder die Bilder werden im</w:t>
      </w:r>
      <w:r w:rsidR="00490075">
        <w:t xml:space="preserve"> Raum aufgehängt und die </w:t>
      </w:r>
      <w:r>
        <w:t>Kursteilnehmenden</w:t>
      </w:r>
      <w:r w:rsidR="004B181C">
        <w:t xml:space="preserve"> laufen durch den Raum und wählen ein Bild.</w:t>
      </w:r>
    </w:p>
    <w:p w:rsidR="004B181C" w:rsidRDefault="004B181C" w:rsidP="004B181C">
      <w:r>
        <w:t>- Das Foto</w:t>
      </w:r>
      <w:r w:rsidR="00490075">
        <w:t xml:space="preserve"> kann als Standbild in die Gestaltungs</w:t>
      </w:r>
      <w:r>
        <w:t>aufgabe aufgenommen werden (Stellt das Foto als Standbild nach. Beginnt oder endet euren Dialog damit.)</w:t>
      </w:r>
    </w:p>
    <w:p w:rsidR="00D75239" w:rsidRPr="008379F3" w:rsidRDefault="00D75239" w:rsidP="004B181C"/>
    <w:p w:rsidR="004B181C" w:rsidRPr="00DB59D4" w:rsidRDefault="00017DE4" w:rsidP="004B181C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153670</wp:posOffset>
            </wp:positionV>
            <wp:extent cx="2630805" cy="1972310"/>
            <wp:effectExtent l="19050" t="0" r="0" b="0"/>
            <wp:wrapTight wrapText="bothSides">
              <wp:wrapPolygon edited="0">
                <wp:start x="-156" y="0"/>
                <wp:lineTo x="-156" y="21489"/>
                <wp:lineTo x="21584" y="21489"/>
                <wp:lineTo x="21584" y="0"/>
                <wp:lineTo x="-156" y="0"/>
              </wp:wrapPolygon>
            </wp:wrapTight>
            <wp:docPr id="2" name="Bild 1" descr="C:\Users\Kerstin Hetmann\Desktop\Diashow Tag der offenen tür\P100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stin Hetmann\Desktop\Diashow Tag der offenen tür\P10005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81C" w:rsidRDefault="00017DE4" w:rsidP="004B18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53975</wp:posOffset>
            </wp:positionV>
            <wp:extent cx="1470660" cy="2209800"/>
            <wp:effectExtent l="19050" t="0" r="0" b="0"/>
            <wp:wrapTight wrapText="bothSides">
              <wp:wrapPolygon edited="0">
                <wp:start x="-280" y="0"/>
                <wp:lineTo x="-280" y="21414"/>
                <wp:lineTo x="21544" y="21414"/>
                <wp:lineTo x="21544" y="0"/>
                <wp:lineTo x="-280" y="0"/>
              </wp:wrapPolygon>
            </wp:wrapTight>
            <wp:docPr id="7" name="Bild 2" descr="C:\Users\Kerstin Hetmann\Desktop\Diashow Tag der offenen tür\krawa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stin Hetmann\Desktop\Diashow Tag der offenen tür\krawat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807" w:rsidRDefault="00355807" w:rsidP="004B181C">
      <w:pPr>
        <w:rPr>
          <w:b/>
          <w:sz w:val="28"/>
          <w:szCs w:val="28"/>
        </w:rPr>
      </w:pPr>
    </w:p>
    <w:p w:rsidR="00355807" w:rsidRDefault="00355807" w:rsidP="004B181C">
      <w:pPr>
        <w:rPr>
          <w:b/>
          <w:sz w:val="28"/>
          <w:szCs w:val="28"/>
        </w:rPr>
      </w:pPr>
    </w:p>
    <w:p w:rsidR="00355807" w:rsidRDefault="00355807" w:rsidP="004B181C">
      <w:pPr>
        <w:rPr>
          <w:b/>
          <w:sz w:val="28"/>
          <w:szCs w:val="28"/>
        </w:rPr>
      </w:pPr>
    </w:p>
    <w:p w:rsidR="00355807" w:rsidRPr="002573F1" w:rsidRDefault="00355807" w:rsidP="004B181C">
      <w:pPr>
        <w:rPr>
          <w:b/>
          <w:sz w:val="28"/>
          <w:szCs w:val="28"/>
        </w:rPr>
      </w:pPr>
    </w:p>
    <w:p w:rsidR="00F5187C" w:rsidRDefault="00F5187C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CA0AF0" w:rsidRDefault="00017DE4" w:rsidP="0091397A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-2159635</wp:posOffset>
            </wp:positionH>
            <wp:positionV relativeFrom="paragraph">
              <wp:posOffset>721995</wp:posOffset>
            </wp:positionV>
            <wp:extent cx="3510915" cy="2785110"/>
            <wp:effectExtent l="19050" t="0" r="0" b="0"/>
            <wp:wrapTight wrapText="bothSides">
              <wp:wrapPolygon edited="0">
                <wp:start x="-117" y="0"/>
                <wp:lineTo x="-117" y="21423"/>
                <wp:lineTo x="21565" y="21423"/>
                <wp:lineTo x="21565" y="0"/>
                <wp:lineTo x="-117" y="0"/>
              </wp:wrapPolygon>
            </wp:wrapTight>
            <wp:docPr id="10" name="Bild 5" descr="C:\Users\Kerstin Hetmann\Desktop\Diashow Tag der offenen tür\wirtsha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rstin Hetmann\Desktop\Diashow Tag der offenen tür\wirtshaus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E6E" w:rsidRDefault="00721E6E" w:rsidP="0091397A">
      <w:pPr>
        <w:rPr>
          <w:b/>
        </w:rPr>
      </w:pPr>
    </w:p>
    <w:p w:rsidR="00721E6E" w:rsidRDefault="00721E6E" w:rsidP="0091397A">
      <w:pPr>
        <w:rPr>
          <w:b/>
        </w:rPr>
      </w:pPr>
    </w:p>
    <w:p w:rsidR="00721E6E" w:rsidRDefault="00721E6E" w:rsidP="0091397A">
      <w:pPr>
        <w:rPr>
          <w:b/>
        </w:rPr>
      </w:pPr>
    </w:p>
    <w:p w:rsidR="00721E6E" w:rsidRDefault="00721E6E" w:rsidP="0091397A">
      <w:pPr>
        <w:rPr>
          <w:b/>
        </w:rPr>
      </w:pPr>
    </w:p>
    <w:p w:rsidR="00721E6E" w:rsidRDefault="00721E6E" w:rsidP="0091397A">
      <w:pPr>
        <w:rPr>
          <w:b/>
        </w:rPr>
      </w:pPr>
    </w:p>
    <w:p w:rsidR="00721E6E" w:rsidRDefault="00721E6E" w:rsidP="0091397A">
      <w:pPr>
        <w:rPr>
          <w:b/>
        </w:rPr>
      </w:pPr>
    </w:p>
    <w:p w:rsidR="00721E6E" w:rsidRDefault="00721E6E" w:rsidP="0091397A">
      <w:pPr>
        <w:rPr>
          <w:b/>
        </w:rPr>
      </w:pPr>
    </w:p>
    <w:p w:rsidR="00721E6E" w:rsidRDefault="00721E6E" w:rsidP="0091397A">
      <w:pPr>
        <w:rPr>
          <w:b/>
        </w:rPr>
      </w:pPr>
    </w:p>
    <w:p w:rsidR="00721E6E" w:rsidRDefault="00721E6E" w:rsidP="0091397A">
      <w:pPr>
        <w:rPr>
          <w:b/>
        </w:rPr>
      </w:pPr>
    </w:p>
    <w:p w:rsidR="00721E6E" w:rsidRDefault="00721E6E" w:rsidP="0091397A">
      <w:pPr>
        <w:rPr>
          <w:b/>
        </w:rPr>
      </w:pPr>
    </w:p>
    <w:p w:rsidR="00721E6E" w:rsidRDefault="00721E6E" w:rsidP="0091397A">
      <w:pPr>
        <w:rPr>
          <w:b/>
        </w:rPr>
      </w:pPr>
    </w:p>
    <w:p w:rsidR="00721E6E" w:rsidRDefault="00721E6E" w:rsidP="0091397A">
      <w:pPr>
        <w:rPr>
          <w:b/>
        </w:rPr>
      </w:pPr>
    </w:p>
    <w:p w:rsidR="00721E6E" w:rsidRDefault="00721E6E" w:rsidP="0091397A">
      <w:pPr>
        <w:rPr>
          <w:b/>
        </w:rPr>
      </w:pPr>
    </w:p>
    <w:p w:rsidR="00721E6E" w:rsidRDefault="00721E6E" w:rsidP="0091397A">
      <w:pPr>
        <w:rPr>
          <w:b/>
        </w:rPr>
      </w:pPr>
    </w:p>
    <w:p w:rsidR="00721E6E" w:rsidRDefault="00721E6E" w:rsidP="0091397A">
      <w:pPr>
        <w:rPr>
          <w:b/>
        </w:rPr>
      </w:pPr>
    </w:p>
    <w:p w:rsidR="00721E6E" w:rsidRDefault="00721E6E" w:rsidP="0091397A">
      <w:pPr>
        <w:rPr>
          <w:b/>
        </w:rPr>
      </w:pPr>
    </w:p>
    <w:p w:rsidR="00721E6E" w:rsidRDefault="00721E6E" w:rsidP="0091397A">
      <w:pPr>
        <w:rPr>
          <w:b/>
        </w:rPr>
      </w:pPr>
    </w:p>
    <w:p w:rsidR="00721E6E" w:rsidRDefault="00721E6E" w:rsidP="0091397A">
      <w:pPr>
        <w:rPr>
          <w:b/>
        </w:rPr>
      </w:pPr>
    </w:p>
    <w:p w:rsidR="00721E6E" w:rsidRDefault="00721E6E" w:rsidP="0091397A">
      <w:pPr>
        <w:rPr>
          <w:b/>
        </w:rPr>
      </w:pPr>
    </w:p>
    <w:p w:rsidR="00721E6E" w:rsidRPr="00721E6E" w:rsidRDefault="00721E6E" w:rsidP="0091397A">
      <w:r w:rsidRPr="00721E6E">
        <w:rPr>
          <w:b/>
        </w:rPr>
        <w:drawing>
          <wp:inline distT="0" distB="0" distL="0" distR="0">
            <wp:extent cx="1224280" cy="429260"/>
            <wp:effectExtent l="19050" t="0" r="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721E6E">
        <w:t>LISUM</w:t>
      </w:r>
    </w:p>
    <w:p w:rsidR="00F5187C" w:rsidRPr="0091397A" w:rsidRDefault="00F5187C" w:rsidP="0091397A">
      <w:r w:rsidRPr="008119C5">
        <w:rPr>
          <w:b/>
        </w:rPr>
        <w:lastRenderedPageBreak/>
        <w:t>Erwartungshorizont</w:t>
      </w:r>
      <w:r w:rsidR="00CA0AF0">
        <w:rPr>
          <w:b/>
        </w:rPr>
        <w:t>/ dida</w:t>
      </w:r>
      <w:r w:rsidR="00CA0AF0">
        <w:rPr>
          <w:b/>
        </w:rPr>
        <w:t>k</w:t>
      </w:r>
      <w:r w:rsidR="00CA0AF0">
        <w:rPr>
          <w:b/>
        </w:rPr>
        <w:t>tischer Kommentar:</w:t>
      </w:r>
    </w:p>
    <w:p w:rsidR="0091397A" w:rsidRDefault="0091397A" w:rsidP="00BB332B">
      <w:pPr>
        <w:spacing w:line="240" w:lineRule="auto"/>
        <w:rPr>
          <w:b/>
        </w:rPr>
      </w:pPr>
    </w:p>
    <w:p w:rsidR="00490075" w:rsidRDefault="00490075" w:rsidP="00490075">
      <w:r>
        <w:t>Die Schülerinnen und Schüler beschreiben nachvollziehbar Gesamtwahrnehmu</w:t>
      </w:r>
      <w:r>
        <w:t>n</w:t>
      </w:r>
      <w:r>
        <w:t>gen und Details der Bilder. Sie tauschen individuelle Deutungen zu den abgebildeten Personen und ihren vermuteten Stimmungen und Beziehungen aus und ‚gleichen‘ sie dabei ‚ab‘. Erste Ei</w:t>
      </w:r>
      <w:r>
        <w:t>n</w:t>
      </w:r>
      <w:r>
        <w:t>drücke werden in diesem Prozess diff</w:t>
      </w:r>
      <w:r>
        <w:t>e</w:t>
      </w:r>
      <w:r>
        <w:t>renziert(er).</w:t>
      </w:r>
    </w:p>
    <w:p w:rsidR="0092202F" w:rsidRDefault="0092202F" w:rsidP="00490075"/>
    <w:p w:rsidR="00490075" w:rsidRDefault="00490075" w:rsidP="00490075">
      <w:r>
        <w:t>Die Schülerinnen und Schüler beziehen ihre Verm</w:t>
      </w:r>
      <w:r>
        <w:t>u</w:t>
      </w:r>
      <w:r>
        <w:t xml:space="preserve">tungen erkennbar auf das/ ihr Bild. </w:t>
      </w:r>
    </w:p>
    <w:p w:rsidR="00490075" w:rsidRDefault="00490075" w:rsidP="00490075">
      <w:r>
        <w:t>Auch die entwickelten Gestaltungsszenen deuten erkennbar bildbezogen das Verhalten der dargestellten Personen aus. Die Szenen zeigen Ansätze nachvollziehbarer Verhaltenslogik.</w:t>
      </w:r>
    </w:p>
    <w:p w:rsidR="00B94BD8" w:rsidRDefault="00B94BD8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</w:p>
    <w:p w:rsidR="00721E6E" w:rsidRDefault="00721E6E">
      <w:pPr>
        <w:spacing w:line="240" w:lineRule="auto"/>
      </w:pPr>
      <w:r w:rsidRPr="00721E6E">
        <w:drawing>
          <wp:inline distT="0" distB="0" distL="0" distR="0">
            <wp:extent cx="1224280" cy="429260"/>
            <wp:effectExtent l="19050" t="0" r="0" b="0"/>
            <wp:docPr id="57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721E6E" w:rsidSect="004851BE">
      <w:footerReference w:type="defaul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27" w:rsidRDefault="00F80D27" w:rsidP="00837EC7">
      <w:pPr>
        <w:spacing w:line="240" w:lineRule="auto"/>
      </w:pPr>
      <w:r>
        <w:separator/>
      </w:r>
    </w:p>
  </w:endnote>
  <w:endnote w:type="continuationSeparator" w:id="0">
    <w:p w:rsidR="00F80D27" w:rsidRDefault="00F80D2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0F355C">
          <w:fldChar w:fldCharType="begin"/>
        </w:r>
        <w:r w:rsidR="0003453D">
          <w:instrText xml:space="preserve"> PAGE   \* MERGEFORMAT </w:instrText>
        </w:r>
        <w:r w:rsidR="000F355C">
          <w:fldChar w:fldCharType="separate"/>
        </w:r>
        <w:r w:rsidR="00721E6E">
          <w:rPr>
            <w:noProof/>
          </w:rPr>
          <w:t>1</w:t>
        </w:r>
        <w:r w:rsidR="000F355C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0F355C">
          <w:fldChar w:fldCharType="begin"/>
        </w:r>
        <w:r w:rsidR="0003453D">
          <w:instrText xml:space="preserve"> PAGE   \* MERGEFORMAT </w:instrText>
        </w:r>
        <w:r w:rsidR="000F355C">
          <w:fldChar w:fldCharType="separate"/>
        </w:r>
        <w:r w:rsidR="00721E6E">
          <w:rPr>
            <w:noProof/>
          </w:rPr>
          <w:t>3</w:t>
        </w:r>
        <w:r w:rsidR="000F355C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27" w:rsidRDefault="00F80D27" w:rsidP="00837EC7">
      <w:pPr>
        <w:spacing w:line="240" w:lineRule="auto"/>
      </w:pPr>
      <w:r>
        <w:separator/>
      </w:r>
    </w:p>
  </w:footnote>
  <w:footnote w:type="continuationSeparator" w:id="0">
    <w:p w:rsidR="00F80D27" w:rsidRDefault="00F80D2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A3983"/>
    <w:multiLevelType w:val="hybridMultilevel"/>
    <w:tmpl w:val="26E6B8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816945"/>
    <w:multiLevelType w:val="hybridMultilevel"/>
    <w:tmpl w:val="BD18DF84"/>
    <w:lvl w:ilvl="0" w:tplc="055037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BB332B"/>
    <w:rsid w:val="00017DE4"/>
    <w:rsid w:val="0003453D"/>
    <w:rsid w:val="0004165F"/>
    <w:rsid w:val="00056DAC"/>
    <w:rsid w:val="00077744"/>
    <w:rsid w:val="000A2A61"/>
    <w:rsid w:val="000A4B8B"/>
    <w:rsid w:val="000E129A"/>
    <w:rsid w:val="000E5DAA"/>
    <w:rsid w:val="000F355C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01D0"/>
    <w:rsid w:val="001C3197"/>
    <w:rsid w:val="001F319E"/>
    <w:rsid w:val="00202F49"/>
    <w:rsid w:val="00206E1F"/>
    <w:rsid w:val="00207A8D"/>
    <w:rsid w:val="00221C73"/>
    <w:rsid w:val="00231B0D"/>
    <w:rsid w:val="002348B8"/>
    <w:rsid w:val="00235CC0"/>
    <w:rsid w:val="00276CD9"/>
    <w:rsid w:val="002A04B8"/>
    <w:rsid w:val="002A16D1"/>
    <w:rsid w:val="002A2294"/>
    <w:rsid w:val="002A76CA"/>
    <w:rsid w:val="002B14FC"/>
    <w:rsid w:val="002B6BAF"/>
    <w:rsid w:val="002D3F70"/>
    <w:rsid w:val="002D55C9"/>
    <w:rsid w:val="002D688E"/>
    <w:rsid w:val="002E1682"/>
    <w:rsid w:val="002F3C8C"/>
    <w:rsid w:val="00300E1A"/>
    <w:rsid w:val="00321743"/>
    <w:rsid w:val="00334567"/>
    <w:rsid w:val="00347B36"/>
    <w:rsid w:val="00355807"/>
    <w:rsid w:val="00363539"/>
    <w:rsid w:val="00374F0A"/>
    <w:rsid w:val="00381AB2"/>
    <w:rsid w:val="003E01C0"/>
    <w:rsid w:val="003F4234"/>
    <w:rsid w:val="0040115E"/>
    <w:rsid w:val="004072A0"/>
    <w:rsid w:val="00411347"/>
    <w:rsid w:val="00436F86"/>
    <w:rsid w:val="00440CA4"/>
    <w:rsid w:val="00445672"/>
    <w:rsid w:val="00467ABE"/>
    <w:rsid w:val="004851BE"/>
    <w:rsid w:val="00490075"/>
    <w:rsid w:val="0049671A"/>
    <w:rsid w:val="00496D76"/>
    <w:rsid w:val="004B181C"/>
    <w:rsid w:val="004B50D9"/>
    <w:rsid w:val="004C485B"/>
    <w:rsid w:val="004C5D31"/>
    <w:rsid w:val="004F3656"/>
    <w:rsid w:val="005052CB"/>
    <w:rsid w:val="0052615D"/>
    <w:rsid w:val="00537A2A"/>
    <w:rsid w:val="005960DF"/>
    <w:rsid w:val="005C16CC"/>
    <w:rsid w:val="005F1ACA"/>
    <w:rsid w:val="0061774A"/>
    <w:rsid w:val="00647CE5"/>
    <w:rsid w:val="006525BA"/>
    <w:rsid w:val="00655746"/>
    <w:rsid w:val="00677337"/>
    <w:rsid w:val="006A22F8"/>
    <w:rsid w:val="006A599E"/>
    <w:rsid w:val="006C713F"/>
    <w:rsid w:val="006D084A"/>
    <w:rsid w:val="006D5EEA"/>
    <w:rsid w:val="006D719E"/>
    <w:rsid w:val="006F4DFD"/>
    <w:rsid w:val="007024FB"/>
    <w:rsid w:val="00721E6E"/>
    <w:rsid w:val="00731484"/>
    <w:rsid w:val="007357B6"/>
    <w:rsid w:val="00750F92"/>
    <w:rsid w:val="007621DD"/>
    <w:rsid w:val="007B1C9B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276C6"/>
    <w:rsid w:val="00837EC7"/>
    <w:rsid w:val="00855B26"/>
    <w:rsid w:val="008A1768"/>
    <w:rsid w:val="008A445C"/>
    <w:rsid w:val="008B1D49"/>
    <w:rsid w:val="008B6E6E"/>
    <w:rsid w:val="008E2ED1"/>
    <w:rsid w:val="008E7D45"/>
    <w:rsid w:val="008F78E6"/>
    <w:rsid w:val="0091397A"/>
    <w:rsid w:val="0092202F"/>
    <w:rsid w:val="00927D85"/>
    <w:rsid w:val="00937B60"/>
    <w:rsid w:val="0095558E"/>
    <w:rsid w:val="00971722"/>
    <w:rsid w:val="009A1D85"/>
    <w:rsid w:val="009B1AB2"/>
    <w:rsid w:val="009C4E47"/>
    <w:rsid w:val="009F42E4"/>
    <w:rsid w:val="00A03E35"/>
    <w:rsid w:val="00A20523"/>
    <w:rsid w:val="00A366CC"/>
    <w:rsid w:val="00A45B8F"/>
    <w:rsid w:val="00A51FBF"/>
    <w:rsid w:val="00A57E9B"/>
    <w:rsid w:val="00A6007E"/>
    <w:rsid w:val="00A804F8"/>
    <w:rsid w:val="00A828A1"/>
    <w:rsid w:val="00A91657"/>
    <w:rsid w:val="00A973E5"/>
    <w:rsid w:val="00A974C7"/>
    <w:rsid w:val="00AB509B"/>
    <w:rsid w:val="00AD39E6"/>
    <w:rsid w:val="00AE1EE8"/>
    <w:rsid w:val="00AE2D84"/>
    <w:rsid w:val="00AE3A55"/>
    <w:rsid w:val="00B32E50"/>
    <w:rsid w:val="00B542E5"/>
    <w:rsid w:val="00B94BD8"/>
    <w:rsid w:val="00BB332B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3C4"/>
    <w:rsid w:val="00C6552D"/>
    <w:rsid w:val="00CA0AF0"/>
    <w:rsid w:val="00CB3549"/>
    <w:rsid w:val="00CB63D9"/>
    <w:rsid w:val="00CB70F6"/>
    <w:rsid w:val="00CE62D5"/>
    <w:rsid w:val="00CF33C3"/>
    <w:rsid w:val="00D0707C"/>
    <w:rsid w:val="00D226DE"/>
    <w:rsid w:val="00D270BC"/>
    <w:rsid w:val="00D41BE0"/>
    <w:rsid w:val="00D67062"/>
    <w:rsid w:val="00D72A88"/>
    <w:rsid w:val="00D75239"/>
    <w:rsid w:val="00DC762A"/>
    <w:rsid w:val="00DD0C30"/>
    <w:rsid w:val="00DF308F"/>
    <w:rsid w:val="00E16A0E"/>
    <w:rsid w:val="00E16B27"/>
    <w:rsid w:val="00E16F92"/>
    <w:rsid w:val="00E43B7A"/>
    <w:rsid w:val="00E44E0B"/>
    <w:rsid w:val="00E579BF"/>
    <w:rsid w:val="00E72519"/>
    <w:rsid w:val="00E84ADD"/>
    <w:rsid w:val="00E85DB9"/>
    <w:rsid w:val="00E86529"/>
    <w:rsid w:val="00EA4734"/>
    <w:rsid w:val="00EA5291"/>
    <w:rsid w:val="00EB070D"/>
    <w:rsid w:val="00EC1E64"/>
    <w:rsid w:val="00EC1F75"/>
    <w:rsid w:val="00EC51CF"/>
    <w:rsid w:val="00EC68C4"/>
    <w:rsid w:val="00ED0EC3"/>
    <w:rsid w:val="00F17F92"/>
    <w:rsid w:val="00F2257F"/>
    <w:rsid w:val="00F372D1"/>
    <w:rsid w:val="00F46906"/>
    <w:rsid w:val="00F5187C"/>
    <w:rsid w:val="00F80D27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BB3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ann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C1049-D5E5-4811-BD82-BFE49681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Schulz-C</cp:lastModifiedBy>
  <cp:revision>2</cp:revision>
  <dcterms:created xsi:type="dcterms:W3CDTF">2015-11-20T12:55:00Z</dcterms:created>
  <dcterms:modified xsi:type="dcterms:W3CDTF">2015-11-20T12:55:00Z</dcterms:modified>
</cp:coreProperties>
</file>