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6021"/>
      </w:tblGrid>
      <w:tr w:rsidR="00953B6B" w14:paraId="44D248B0" w14:textId="77777777" w:rsidTr="00997F7D">
        <w:trPr>
          <w:cantSplit/>
          <w:trHeight w:val="439"/>
        </w:trPr>
        <w:tc>
          <w:tcPr>
            <w:tcW w:w="4044" w:type="dxa"/>
            <w:vAlign w:val="center"/>
          </w:tcPr>
          <w:p w14:paraId="2982BAA6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73F46D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021" w:type="dxa"/>
            <w:vAlign w:val="center"/>
          </w:tcPr>
          <w:p w14:paraId="5DA040AF" w14:textId="77777777" w:rsidR="00AF5358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2E7">
              <w:rPr>
                <w:rFonts w:ascii="Arial" w:hAnsi="Arial" w:cs="Arial"/>
                <w:b/>
                <w:sz w:val="24"/>
                <w:szCs w:val="24"/>
              </w:rPr>
              <w:t>Erörterung literarischer</w:t>
            </w:r>
            <w:r w:rsidR="008F0D83" w:rsidRPr="008F0D83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D24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8CE24B" w14:textId="62547884" w:rsidR="00953B6B" w:rsidRDefault="00D241CD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(Variante C)</w:t>
            </w:r>
          </w:p>
        </w:tc>
      </w:tr>
    </w:tbl>
    <w:p w14:paraId="4B2E6072" w14:textId="05632B11" w:rsidR="00E50AB0" w:rsidRDefault="00E50AB0" w:rsidP="00DA2268">
      <w:pPr>
        <w:spacing w:before="120" w:after="120"/>
      </w:pPr>
      <w:r w:rsidRPr="00195D0D">
        <w:t xml:space="preserve">Andere als im Erwartungshorizont ausgeführte Lösungen werden bei der Bewertung der </w:t>
      </w:r>
      <w:r w:rsidR="00343CA8" w:rsidRPr="00195D0D">
        <w:t>Gesamtleistung</w:t>
      </w:r>
      <w:r w:rsidRPr="00195D0D">
        <w:t xml:space="preserve"> als gleichwertig gewürdigt, wenn sie der Aufgabenstellung entsprechen, sachlich richtig und nachvollziehbar sind.</w:t>
      </w:r>
    </w:p>
    <w:p w14:paraId="3B9C87B5" w14:textId="77777777" w:rsidR="009367FB" w:rsidRPr="00886C1C" w:rsidRDefault="009367FB" w:rsidP="009367FB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886C1C">
        <w:rPr>
          <w:rFonts w:ascii="Arial" w:hAnsi="Arial" w:cs="Arial"/>
          <w:b/>
          <w:sz w:val="24"/>
          <w:szCs w:val="24"/>
        </w:rPr>
        <w:t>I. Verstehensleistung</w:t>
      </w:r>
    </w:p>
    <w:p w14:paraId="4D36E4AF" w14:textId="34211C57" w:rsidR="003D3EB2" w:rsidRPr="00886C1C" w:rsidRDefault="009367FB" w:rsidP="009367FB">
      <w:pPr>
        <w:pStyle w:val="Zwischenberschrift"/>
        <w:spacing w:before="120"/>
      </w:pPr>
      <w:r w:rsidRPr="00886C1C">
        <w:t>Teilaufgabe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3D3EB2" w:rsidRPr="0001049C" w14:paraId="37FEA9DD" w14:textId="77777777" w:rsidTr="61F0F0B4">
        <w:tc>
          <w:tcPr>
            <w:tcW w:w="5000" w:type="pct"/>
            <w:shd w:val="clear" w:color="auto" w:fill="BFBFBF" w:themeFill="background1" w:themeFillShade="BF"/>
          </w:tcPr>
          <w:p w14:paraId="4DEFDD4C" w14:textId="6276DE56" w:rsidR="003D3EB2" w:rsidRPr="00E816F6" w:rsidRDefault="003D3EB2" w:rsidP="00E816F6">
            <w:pPr>
              <w:pStyle w:val="Textkrper"/>
              <w:spacing w:line="260" w:lineRule="exact"/>
              <w:rPr>
                <w:b/>
              </w:rPr>
            </w:pPr>
            <w:r w:rsidRPr="00E816F6">
              <w:rPr>
                <w:b/>
              </w:rPr>
              <w:t>Standardbezug</w:t>
            </w:r>
            <w:r w:rsidR="00195D0D">
              <w:rPr>
                <w:rStyle w:val="Funotenzeichen"/>
                <w:b/>
              </w:rPr>
              <w:footnoteReference w:id="1"/>
            </w:r>
          </w:p>
          <w:p w14:paraId="060990A4" w14:textId="77777777" w:rsidR="003D3EB2" w:rsidRPr="003C430B" w:rsidRDefault="003D3EB2" w:rsidP="00E816F6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3D3EB2" w:rsidRPr="00CE08D0" w14:paraId="4E098F75" w14:textId="77777777" w:rsidTr="61F0F0B4">
        <w:tc>
          <w:tcPr>
            <w:tcW w:w="5000" w:type="pct"/>
            <w:shd w:val="clear" w:color="auto" w:fill="auto"/>
            <w:vAlign w:val="center"/>
          </w:tcPr>
          <w:p w14:paraId="3FC7454C" w14:textId="77777777" w:rsidR="003D3EB2" w:rsidRPr="009810C1" w:rsidRDefault="003D3EB2" w:rsidP="00E816F6">
            <w:pPr>
              <w:pStyle w:val="AufzhlungszeichenEbene1"/>
              <w:rPr>
                <w:szCs w:val="24"/>
                <w:lang w:eastAsia="de-DE"/>
              </w:rPr>
            </w:pPr>
            <w:r w:rsidRPr="009810C1">
              <w:t xml:space="preserve">„den inhaltlichen Zusammenhang voraussetzungsreicher Texte sichern und diese Texte terminologisch </w:t>
            </w:r>
            <w:proofErr w:type="spellStart"/>
            <w:r w:rsidRPr="009810C1">
              <w:t>präzise</w:t>
            </w:r>
            <w:proofErr w:type="spellEnd"/>
            <w:r w:rsidRPr="009810C1">
              <w:t xml:space="preserve"> und sachgerecht zusammenfassen“ (Sekretariat der </w:t>
            </w:r>
            <w:proofErr w:type="spellStart"/>
            <w:r w:rsidRPr="009810C1">
              <w:t>Ständigen</w:t>
            </w:r>
            <w:proofErr w:type="spellEnd"/>
            <w:r w:rsidRPr="009810C1">
              <w:t xml:space="preserve"> Konferenz der Kultusminister der </w:t>
            </w:r>
            <w:proofErr w:type="spellStart"/>
            <w:r w:rsidRPr="009810C1">
              <w:t>Länder</w:t>
            </w:r>
            <w:proofErr w:type="spellEnd"/>
            <w:r w:rsidRPr="009810C1">
              <w:t xml:space="preserve"> in der Bundesrepublik Deutschland [KMK] (2014). Bildungsstandards im Fach Deutsch </w:t>
            </w:r>
            <w:proofErr w:type="spellStart"/>
            <w:r w:rsidRPr="009810C1">
              <w:t>für</w:t>
            </w:r>
            <w:proofErr w:type="spellEnd"/>
            <w:r w:rsidRPr="009810C1">
              <w:t xml:space="preserve"> die Allgemeine Hochschulreife, 2.4.2, S. 19. </w:t>
            </w:r>
            <w:proofErr w:type="spellStart"/>
            <w:r w:rsidRPr="009810C1">
              <w:t>Köln</w:t>
            </w:r>
            <w:proofErr w:type="spellEnd"/>
            <w:r w:rsidRPr="009810C1">
              <w:t>: Carl Link.),</w:t>
            </w:r>
          </w:p>
          <w:p w14:paraId="3885C1C5" w14:textId="77777777" w:rsidR="003D3EB2" w:rsidRDefault="003D3EB2" w:rsidP="00E816F6">
            <w:pPr>
              <w:pStyle w:val="AufzhlungszeichenEbene1"/>
            </w:pPr>
            <w:r>
              <w:t xml:space="preserve">„die Funktionen eines pragmatischen Textes bestimmen und dessen </w:t>
            </w:r>
            <w:proofErr w:type="spellStart"/>
            <w:r>
              <w:t>mögliche</w:t>
            </w:r>
            <w:proofErr w:type="spellEnd"/>
            <w:r>
              <w:t xml:space="preserve"> Wirkungsabsichten beurteilen“ (KMK, 2014, 2.4.2, S. 19),</w:t>
            </w:r>
          </w:p>
          <w:p w14:paraId="60C3AE7B" w14:textId="27CA97C0" w:rsidR="000E1BC9" w:rsidRPr="00CE08D0" w:rsidRDefault="003D3EB2" w:rsidP="009810C1">
            <w:pPr>
              <w:pStyle w:val="AufzhlungszeichenEbene1"/>
            </w:pPr>
            <w:r w:rsidRPr="00A42D6A">
              <w:t xml:space="preserve">zielgerichtet </w:t>
            </w:r>
            <w:proofErr w:type="spellStart"/>
            <w:r w:rsidRPr="00A42D6A">
              <w:t>Zusammenhänge</w:t>
            </w:r>
            <w:proofErr w:type="spellEnd"/>
            <w:r w:rsidRPr="00A42D6A">
              <w:t xml:space="preserve"> zu weiteren ihnen bekannten Texten herstellen und </w:t>
            </w:r>
            <w:proofErr w:type="spellStart"/>
            <w:r w:rsidRPr="00A42D6A">
              <w:t>hierfür</w:t>
            </w:r>
            <w:proofErr w:type="spellEnd"/>
            <w:r w:rsidRPr="00A42D6A">
              <w:t xml:space="preserve"> passende </w:t>
            </w:r>
            <w:proofErr w:type="spellStart"/>
            <w:r w:rsidRPr="00A42D6A">
              <w:t>Wissensbestände</w:t>
            </w:r>
            <w:proofErr w:type="spellEnd"/>
            <w:r w:rsidRPr="00A42D6A">
              <w:t xml:space="preserve"> aktivieren</w:t>
            </w:r>
            <w:r>
              <w:t xml:space="preserve"> (KMK, 2014, 2.4.2, S. 19).</w:t>
            </w:r>
          </w:p>
        </w:tc>
      </w:tr>
      <w:tr w:rsidR="003D3EB2" w:rsidRPr="0001049C" w14:paraId="7BD54D5F" w14:textId="77777777" w:rsidTr="61F0F0B4">
        <w:tc>
          <w:tcPr>
            <w:tcW w:w="5000" w:type="pct"/>
            <w:shd w:val="clear" w:color="auto" w:fill="BFBFBF" w:themeFill="background1" w:themeFillShade="BF"/>
          </w:tcPr>
          <w:p w14:paraId="5FD14F1F" w14:textId="2C50DE07" w:rsidR="003D3EB2" w:rsidRPr="00E816F6" w:rsidRDefault="003D3EB2" w:rsidP="61F0F0B4">
            <w:pPr>
              <w:pStyle w:val="Textkrper"/>
              <w:spacing w:line="260" w:lineRule="exact"/>
              <w:rPr>
                <w:b/>
                <w:bCs/>
              </w:rPr>
            </w:pPr>
            <w:r w:rsidRPr="61F0F0B4">
              <w:rPr>
                <w:b/>
                <w:bCs/>
              </w:rPr>
              <w:t>Operationalisierung</w:t>
            </w:r>
            <w:r w:rsidR="005D4CC1">
              <w:rPr>
                <w:rStyle w:val="Funotenzeichen"/>
              </w:rPr>
              <w:footnoteReference w:id="2"/>
            </w:r>
          </w:p>
        </w:tc>
      </w:tr>
      <w:tr w:rsidR="003D3EB2" w:rsidRPr="00CE08D0" w14:paraId="154ACDC2" w14:textId="77777777" w:rsidTr="61F0F0B4">
        <w:tc>
          <w:tcPr>
            <w:tcW w:w="5000" w:type="pct"/>
            <w:shd w:val="clear" w:color="auto" w:fill="auto"/>
            <w:vAlign w:val="center"/>
          </w:tcPr>
          <w:p w14:paraId="4106320B" w14:textId="77777777" w:rsidR="003D3EB2" w:rsidRPr="00A74741" w:rsidRDefault="003D3EB2" w:rsidP="00E816F6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25BAA5A4" w14:textId="7AF1593C" w:rsidR="003D3EB2" w:rsidRPr="008B61B1" w:rsidRDefault="003D3EB2" w:rsidP="00E816F6">
            <w:pPr>
              <w:pStyle w:val="EWH-Zwischenberschrift"/>
              <w:jc w:val="both"/>
            </w:pPr>
            <w:r>
              <w:t xml:space="preserve">formulieren das Thema und </w:t>
            </w:r>
            <w:r w:rsidR="0042667D">
              <w:t>bestimmen ggf.</w:t>
            </w:r>
            <w:r>
              <w:t xml:space="preserve"> die Textsorte</w:t>
            </w:r>
            <w:r w:rsidRPr="008B61B1">
              <w:t>,</w:t>
            </w:r>
            <w:r>
              <w:t xml:space="preserve"> etwa:</w:t>
            </w:r>
          </w:p>
          <w:p w14:paraId="04714FA9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1 </w:t>
            </w:r>
          </w:p>
          <w:p w14:paraId="0A09BA06" w14:textId="77777777" w:rsidR="00CC7AC5" w:rsidRPr="00266659" w:rsidRDefault="00CC7AC5" w:rsidP="00CC7AC5">
            <w:pPr>
              <w:pStyle w:val="AufzhlungszeichenEbene1"/>
            </w:pPr>
            <w:r w:rsidRPr="00266659">
              <w:t xml:space="preserve">Aspekt 2 </w:t>
            </w:r>
          </w:p>
          <w:p w14:paraId="3232316D" w14:textId="77777777" w:rsidR="00CC7AC5" w:rsidRPr="00266659" w:rsidRDefault="00CC7AC5" w:rsidP="00CC7AC5">
            <w:pPr>
              <w:pStyle w:val="AufzhlungszeichenEbene1"/>
            </w:pPr>
            <w:r w:rsidRPr="00266659">
              <w:t>…</w:t>
            </w:r>
          </w:p>
          <w:p w14:paraId="4A9EF3BF" w14:textId="3A2DB9DB" w:rsidR="003D3EB2" w:rsidRPr="00886C1C" w:rsidRDefault="58068F7F" w:rsidP="6FBE2813">
            <w:pPr>
              <w:pStyle w:val="EWH-Zwischenberschrift"/>
            </w:pPr>
            <w:r>
              <w:t>stellen die zentralen Aussagen des Textauszugs</w:t>
            </w:r>
            <w:r w:rsidRPr="00886C1C">
              <w:t xml:space="preserve">/den Interpretationsansatz dar, etwa: </w:t>
            </w:r>
          </w:p>
          <w:p w14:paraId="4EF9B55C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1 </w:t>
            </w:r>
          </w:p>
          <w:p w14:paraId="5CAF757E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2 </w:t>
            </w:r>
          </w:p>
          <w:p w14:paraId="523B5244" w14:textId="77777777" w:rsidR="0042667D" w:rsidRPr="00886C1C" w:rsidRDefault="0042667D" w:rsidP="0042667D">
            <w:pPr>
              <w:pStyle w:val="AufzhlungszeichenEbene1"/>
            </w:pPr>
            <w:r w:rsidRPr="00886C1C">
              <w:t>…</w:t>
            </w:r>
          </w:p>
          <w:p w14:paraId="48CFDF55" w14:textId="3DB9918A" w:rsidR="003D3EB2" w:rsidRPr="00886C1C" w:rsidRDefault="58068F7F" w:rsidP="6E0EAFA7">
            <w:pPr>
              <w:pStyle w:val="EWH-Zwischenberschrift"/>
            </w:pPr>
            <w:r w:rsidRPr="00886C1C">
              <w:t xml:space="preserve">formulieren schlussfolgernd die zentrale These/strittige Frage/den Interpretationsansatz, etwa: </w:t>
            </w:r>
          </w:p>
          <w:p w14:paraId="69B7978B" w14:textId="77777777" w:rsidR="0042667D" w:rsidRPr="00886C1C" w:rsidRDefault="0042667D" w:rsidP="0042667D">
            <w:pPr>
              <w:pStyle w:val="AufzhlungszeichenEbene1"/>
            </w:pPr>
            <w:r w:rsidRPr="00886C1C">
              <w:t xml:space="preserve">Aspekt 1 </w:t>
            </w:r>
          </w:p>
          <w:p w14:paraId="433D9D44" w14:textId="77777777" w:rsidR="0042667D" w:rsidRPr="00266659" w:rsidRDefault="0042667D" w:rsidP="0042667D">
            <w:pPr>
              <w:pStyle w:val="AufzhlungszeichenEbene1"/>
            </w:pPr>
            <w:r w:rsidRPr="00266659">
              <w:t xml:space="preserve">Aspekt 2 </w:t>
            </w:r>
          </w:p>
          <w:p w14:paraId="49C7E937" w14:textId="5E32ACD0" w:rsidR="003D3EB2" w:rsidRPr="00A74741" w:rsidRDefault="0042667D" w:rsidP="00195D0D">
            <w:pPr>
              <w:pStyle w:val="AufzhlungszeichenEbene1"/>
            </w:pPr>
            <w:r w:rsidRPr="00266659">
              <w:t>…</w:t>
            </w:r>
          </w:p>
        </w:tc>
      </w:tr>
    </w:tbl>
    <w:p w14:paraId="71C438BB" w14:textId="28EE7AB5" w:rsidR="0018195D" w:rsidRDefault="0018195D" w:rsidP="00AB48A8"/>
    <w:p w14:paraId="2D257945" w14:textId="77777777" w:rsidR="00195D0D" w:rsidRDefault="00195D0D">
      <w:pPr>
        <w:rPr>
          <w:b/>
          <w:color w:val="990000"/>
          <w:sz w:val="20"/>
          <w:szCs w:val="22"/>
          <w:lang w:eastAsia="en-US"/>
        </w:rPr>
      </w:pPr>
      <w:r>
        <w:br w:type="page"/>
      </w:r>
    </w:p>
    <w:p w14:paraId="49F9CF51" w14:textId="77777777" w:rsidR="009367FB" w:rsidRPr="00D71A22" w:rsidRDefault="009367FB" w:rsidP="009367FB">
      <w:pPr>
        <w:pStyle w:val="Zwischenberschrift"/>
      </w:pPr>
      <w:r w:rsidRPr="00886C1C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195D0D" w:rsidRPr="0001049C" w14:paraId="26961C0A" w14:textId="77777777" w:rsidTr="6D75360A">
        <w:tc>
          <w:tcPr>
            <w:tcW w:w="5000" w:type="pct"/>
            <w:shd w:val="clear" w:color="auto" w:fill="BFBFBF" w:themeFill="background1" w:themeFillShade="BF"/>
          </w:tcPr>
          <w:p w14:paraId="74F4D0CA" w14:textId="63652599" w:rsidR="00195D0D" w:rsidRPr="00E816F6" w:rsidRDefault="00195D0D" w:rsidP="00420A7C">
            <w:pPr>
              <w:pStyle w:val="Textkrper"/>
              <w:spacing w:line="260" w:lineRule="exact"/>
              <w:rPr>
                <w:b/>
              </w:rPr>
            </w:pPr>
            <w:r w:rsidRPr="61F0F0B4">
              <w:rPr>
                <w:b/>
                <w:bCs/>
              </w:rPr>
              <w:t>Standardbezug</w:t>
            </w:r>
            <w:r w:rsidR="00B13F84" w:rsidRPr="61F0F0B4">
              <w:rPr>
                <w:rStyle w:val="Funotenzeichen"/>
                <w:b/>
                <w:bCs/>
              </w:rPr>
              <w:footnoteReference w:id="3"/>
            </w:r>
          </w:p>
          <w:p w14:paraId="6EFACCF7" w14:textId="77777777" w:rsidR="00195D0D" w:rsidRPr="003C430B" w:rsidRDefault="00195D0D" w:rsidP="00420A7C">
            <w:pPr>
              <w:pStyle w:val="Textkrper"/>
              <w:spacing w:line="260" w:lineRule="exact"/>
            </w:pPr>
            <w:r w:rsidRPr="00E816F6">
              <w:rPr>
                <w:sz w:val="18"/>
              </w:rPr>
              <w:t>Die Schülerinnen und Schüler können …</w:t>
            </w:r>
          </w:p>
        </w:tc>
      </w:tr>
      <w:tr w:rsidR="00195D0D" w:rsidRPr="00CE08D0" w14:paraId="0B184981" w14:textId="77777777" w:rsidTr="6D75360A">
        <w:tc>
          <w:tcPr>
            <w:tcW w:w="5000" w:type="pct"/>
            <w:shd w:val="clear" w:color="auto" w:fill="auto"/>
            <w:vAlign w:val="center"/>
          </w:tcPr>
          <w:p w14:paraId="67BE6C4B" w14:textId="77777777" w:rsidR="00195D0D" w:rsidRPr="00CB4CC4" w:rsidRDefault="00195D0D" w:rsidP="00420A7C">
            <w:pPr>
              <w:pStyle w:val="AufzhlungszeichenEbene1"/>
            </w:pPr>
            <w:r w:rsidRPr="00CB4CC4">
              <w:t>„zu fachlich strittigen Sachverhalten und Texten differenzierte Argumentationen entwerfen [und] diese strukturiert entfalten […]“ (Sekretariat der Ständigen Konferenz der Kultusminister der Länder in der Bundesrepublik Deutschland [KMK], 2014, 2.2.2, S. 17. Köln: Carl Link.),</w:t>
            </w:r>
          </w:p>
          <w:p w14:paraId="0F4D7016" w14:textId="77777777" w:rsidR="00195D0D" w:rsidRPr="00CB4CC4" w:rsidRDefault="00195D0D" w:rsidP="00420A7C">
            <w:pPr>
              <w:pStyle w:val="AufzhlungszeichenEbene1"/>
            </w:pPr>
            <w:r w:rsidRPr="00CB4CC4">
              <w:t>„eigenständig ein Textverständnis formulieren, in das sie persönliche Leseerfahrungen und alternative Lesarten des Textes einbeziehen, und auf der Basis eigener Analyseergebnisse begründen“ (KMK, 2014, 2.4.1, S. 18),</w:t>
            </w:r>
          </w:p>
          <w:p w14:paraId="28D1B29E" w14:textId="77777777" w:rsidR="00195D0D" w:rsidRPr="00EE5E79" w:rsidRDefault="00195D0D" w:rsidP="00420A7C">
            <w:pPr>
              <w:pStyle w:val="AufzhlungszeichenEbene1"/>
            </w:pPr>
            <w:r w:rsidRPr="00CB4CC4">
              <w:t>„Schlussfolgerungen aus ihren Analysen, Vergleichen oder Diskussionen von Sachverhalten und Texten ziehen“ (KMK, 2014, 2.2.2, S. 17).</w:t>
            </w:r>
            <w:r w:rsidRPr="00CB4CC4">
              <w:rPr>
                <w:rFonts w:ascii="Times New Roman" w:hAnsi="Times New Roman"/>
              </w:rPr>
              <w:t xml:space="preserve"> </w:t>
            </w:r>
          </w:p>
          <w:p w14:paraId="0FBE1AD6" w14:textId="77777777" w:rsidR="00195D0D" w:rsidRPr="00EE5E79" w:rsidRDefault="00195D0D" w:rsidP="00420A7C">
            <w:pPr>
              <w:pStyle w:val="AufzhlungszeichenEbene1"/>
            </w:pPr>
            <w:r w:rsidRPr="00CB4CC4">
              <w:rPr>
                <w:rFonts w:ascii="Times New Roman" w:hAnsi="Times New Roman"/>
              </w:rPr>
              <w:t>„</w:t>
            </w:r>
            <w:r w:rsidRPr="00CB4CC4">
              <w:t>Kenntnisse wissenschaftlicher Sekundärtexte […] in die Kontextualisierung literarischer Werke einbeziehen“ (KMK, 2014, 2.4.1, S. 19).</w:t>
            </w:r>
          </w:p>
        </w:tc>
      </w:tr>
      <w:tr w:rsidR="00195D0D" w:rsidRPr="0001049C" w14:paraId="52812D2A" w14:textId="77777777" w:rsidTr="6D75360A">
        <w:tc>
          <w:tcPr>
            <w:tcW w:w="5000" w:type="pct"/>
            <w:shd w:val="clear" w:color="auto" w:fill="BFBFBF" w:themeFill="background1" w:themeFillShade="BF"/>
          </w:tcPr>
          <w:p w14:paraId="3DC89176" w14:textId="1D10F009" w:rsidR="00195D0D" w:rsidRPr="00E816F6" w:rsidRDefault="00195D0D" w:rsidP="61F0F0B4">
            <w:pPr>
              <w:pStyle w:val="Textkrper"/>
              <w:spacing w:line="260" w:lineRule="exact"/>
              <w:rPr>
                <w:b/>
                <w:bCs/>
              </w:rPr>
            </w:pPr>
            <w:r w:rsidRPr="61F0F0B4">
              <w:rPr>
                <w:b/>
                <w:bCs/>
              </w:rPr>
              <w:t>Operationalisierung</w:t>
            </w:r>
            <w:r w:rsidR="00B13F84" w:rsidRPr="00B13F84">
              <w:rPr>
                <w:rStyle w:val="Funotenzeichen"/>
              </w:rPr>
              <w:footnoteReference w:id="4"/>
            </w:r>
          </w:p>
        </w:tc>
      </w:tr>
      <w:tr w:rsidR="00195D0D" w:rsidRPr="00CE08D0" w14:paraId="7D25A211" w14:textId="77777777" w:rsidTr="6D75360A">
        <w:tc>
          <w:tcPr>
            <w:tcW w:w="5000" w:type="pct"/>
            <w:shd w:val="clear" w:color="auto" w:fill="auto"/>
            <w:vAlign w:val="center"/>
          </w:tcPr>
          <w:p w14:paraId="40AE812B" w14:textId="77777777" w:rsidR="00195D0D" w:rsidRPr="00561FA8" w:rsidRDefault="00195D0D" w:rsidP="00420A7C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019E3175" w14:textId="445DEAE8" w:rsidR="00195D0D" w:rsidRPr="00E85912" w:rsidRDefault="00195D0D" w:rsidP="00420A7C">
            <w:pPr>
              <w:pStyle w:val="EWH-Zwischenberschrift"/>
              <w:spacing w:before="60"/>
              <w:rPr>
                <w:rStyle w:val="Kommentarzeichen"/>
                <w:sz w:val="20"/>
                <w:szCs w:val="20"/>
              </w:rPr>
            </w:pPr>
            <w:r>
              <w:t xml:space="preserve">erörtern die zentrale These/strittige Frage </w:t>
            </w:r>
            <w:r w:rsidRPr="00AC6D34">
              <w:rPr>
                <w:color w:val="000000" w:themeColor="text1"/>
              </w:rPr>
              <w:t xml:space="preserve">eher </w:t>
            </w:r>
            <w:r>
              <w:t>zustimmend, z. B.:</w:t>
            </w:r>
          </w:p>
          <w:p w14:paraId="2CDBF905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0DED1268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AE7D9B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0B990177" w14:textId="77777777" w:rsidR="00195D0D" w:rsidRDefault="00195D0D" w:rsidP="00420A7C">
            <w:pPr>
              <w:pStyle w:val="EWH-Zwischenberschrift"/>
              <w:spacing w:before="60"/>
            </w:pPr>
          </w:p>
          <w:p w14:paraId="07D9ED47" w14:textId="257620C4" w:rsidR="00195D0D" w:rsidRDefault="00195D0D" w:rsidP="00420A7C">
            <w:pPr>
              <w:pStyle w:val="EWH-Zwischenberschrift"/>
              <w:spacing w:before="60"/>
            </w:pPr>
            <w:r>
              <w:t xml:space="preserve">erörtern die zentrale These/strittige Frage eher </w:t>
            </w:r>
            <w:r w:rsidRPr="00AC6D34">
              <w:rPr>
                <w:color w:val="000000" w:themeColor="text1"/>
              </w:rPr>
              <w:t>ablehnend</w:t>
            </w:r>
            <w:r>
              <w:t>, z. B.:</w:t>
            </w:r>
          </w:p>
          <w:p w14:paraId="4E70755D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1 </w:t>
            </w:r>
          </w:p>
          <w:p w14:paraId="4B534FF2" w14:textId="77777777" w:rsidR="00195D0D" w:rsidRPr="00266659" w:rsidRDefault="00195D0D" w:rsidP="00420A7C">
            <w:pPr>
              <w:pStyle w:val="AufzhlungszeichenEbene1"/>
            </w:pPr>
            <w:r w:rsidRPr="00266659">
              <w:t xml:space="preserve">Aspekt 2 </w:t>
            </w:r>
          </w:p>
          <w:p w14:paraId="562EC49D" w14:textId="77777777" w:rsidR="00195D0D" w:rsidRDefault="00195D0D" w:rsidP="00420A7C">
            <w:pPr>
              <w:pStyle w:val="AufzhlungszeichenEbene1"/>
            </w:pPr>
            <w:r w:rsidRPr="00266659">
              <w:t>…</w:t>
            </w:r>
          </w:p>
          <w:p w14:paraId="5B39A2BC" w14:textId="77777777" w:rsidR="00195D0D" w:rsidRDefault="00195D0D" w:rsidP="00420A7C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162197D" w14:textId="058E3DD3" w:rsidR="00195D0D" w:rsidRPr="00266659" w:rsidRDefault="6D75360A" w:rsidP="6D75360A">
            <w:pPr>
              <w:pStyle w:val="EWH-Zwischenberschrift"/>
            </w:pPr>
            <w:r>
              <w:t xml:space="preserve">formulieren ein aus ihrer Argumentation </w:t>
            </w:r>
            <w:r w:rsidRPr="00886C1C">
              <w:t>resultierendes</w:t>
            </w:r>
            <w:r w:rsidR="00A76589">
              <w:t>, begründetes</w:t>
            </w:r>
            <w:r w:rsidR="00886C1C" w:rsidRPr="00886C1C">
              <w:t xml:space="preserve"> </w:t>
            </w:r>
            <w:r w:rsidRPr="00886C1C">
              <w:t>F</w:t>
            </w:r>
            <w:r>
              <w:t>azit</w:t>
            </w:r>
            <w:r w:rsidR="00A76589">
              <w:t>.</w:t>
            </w:r>
          </w:p>
          <w:p w14:paraId="1B789CD7" w14:textId="4A77D7BB" w:rsidR="00195D0D" w:rsidRPr="00CE08D0" w:rsidRDefault="00195D0D" w:rsidP="00A76589">
            <w:pPr>
              <w:pStyle w:val="AufzhlungszeichenEbene1"/>
              <w:numPr>
                <w:ilvl w:val="0"/>
                <w:numId w:val="0"/>
              </w:numPr>
              <w:ind w:left="227"/>
            </w:pPr>
            <w:bookmarkStart w:id="0" w:name="_GoBack"/>
            <w:bookmarkEnd w:id="0"/>
          </w:p>
        </w:tc>
      </w:tr>
    </w:tbl>
    <w:p w14:paraId="20A855EB" w14:textId="0F3C805C" w:rsidR="00195D0D" w:rsidRDefault="00195D0D" w:rsidP="00AB48A8"/>
    <w:p w14:paraId="04BDC3A4" w14:textId="5803FAB4" w:rsidR="009367FB" w:rsidRPr="00886C1C" w:rsidRDefault="58068F7F" w:rsidP="58068F7F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886C1C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7F072C96" w14:textId="77777777" w:rsidR="009367FB" w:rsidRPr="000D319A" w:rsidRDefault="009367FB" w:rsidP="009367FB">
      <w:pPr>
        <w:pStyle w:val="AufzhlungszeichenEbene1"/>
        <w:numPr>
          <w:ilvl w:val="0"/>
          <w:numId w:val="0"/>
        </w:numPr>
      </w:pPr>
      <w:r w:rsidRPr="00886C1C">
        <w:t>Die spezifischen Leistungsanforderungen sind dem Kriterienraster zu entnehmen.</w:t>
      </w:r>
    </w:p>
    <w:p w14:paraId="1F150717" w14:textId="77777777" w:rsidR="009367FB" w:rsidRPr="00AB48A8" w:rsidRDefault="009367FB" w:rsidP="00AB48A8"/>
    <w:sectPr w:rsidR="009367FB" w:rsidRPr="00AB48A8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2629" w14:textId="77777777" w:rsidR="00FC681C" w:rsidRDefault="00FC681C">
      <w:r>
        <w:separator/>
      </w:r>
    </w:p>
  </w:endnote>
  <w:endnote w:type="continuationSeparator" w:id="0">
    <w:p w14:paraId="4D94C4E8" w14:textId="77777777" w:rsidR="00FC681C" w:rsidRDefault="00F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1510C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82EFDD9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414" w14:textId="4824E501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A7658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A76589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BC2C" w14:textId="77777777" w:rsidR="00953B6B" w:rsidRDefault="00953B6B">
    <w:pPr>
      <w:pStyle w:val="Fuzeile"/>
      <w:pBdr>
        <w:bottom w:val="single" w:sz="4" w:space="1" w:color="auto"/>
      </w:pBdr>
    </w:pPr>
  </w:p>
  <w:p w14:paraId="38DBB2E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F6A6C34" w14:textId="77777777" w:rsidR="00953B6B" w:rsidRDefault="00953B6B">
    <w:pPr>
      <w:pStyle w:val="Fuzeile"/>
    </w:pPr>
    <w:r>
      <w:tab/>
      <w:t>Leistungskurs</w:t>
    </w:r>
    <w:r>
      <w:tab/>
    </w:r>
  </w:p>
  <w:p w14:paraId="10C5FA82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1FC6" w14:textId="77777777" w:rsidR="00FC681C" w:rsidRDefault="00FC681C">
      <w:r>
        <w:separator/>
      </w:r>
    </w:p>
  </w:footnote>
  <w:footnote w:type="continuationSeparator" w:id="0">
    <w:p w14:paraId="1DDFF0C2" w14:textId="77777777" w:rsidR="00FC681C" w:rsidRDefault="00FC681C">
      <w:r>
        <w:continuationSeparator/>
      </w:r>
    </w:p>
  </w:footnote>
  <w:footnote w:id="1">
    <w:p w14:paraId="053C8255" w14:textId="77777777" w:rsidR="00195D0D" w:rsidRPr="00C545E5" w:rsidRDefault="00195D0D" w:rsidP="00195D0D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DAB3711" w14:textId="77777777" w:rsidR="005D4CC1" w:rsidRDefault="005D4CC1" w:rsidP="005D4CC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3A6038A6" w14:textId="46CA54B0" w:rsidR="00B13F84" w:rsidRDefault="00B13F84" w:rsidP="00B13F84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58219284" w14:textId="20166438" w:rsidR="00B13F84" w:rsidRDefault="00B13F84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</w:t>
      </w:r>
      <w:r w:rsidR="00886C1C">
        <w:t>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F9E6" w14:textId="77777777" w:rsidR="00B90FF4" w:rsidRDefault="00B90F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693E" w14:textId="4D290A32" w:rsidR="00161C83" w:rsidRPr="00161C83" w:rsidRDefault="002F6F3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69DC3C7B" wp14:editId="7124DA59">
          <wp:simplePos x="0" y="0"/>
          <wp:positionH relativeFrom="page">
            <wp:posOffset>464457</wp:posOffset>
          </wp:positionH>
          <wp:positionV relativeFrom="page">
            <wp:posOffset>401682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5ABA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E497D01" wp14:editId="25BCA9D0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0F7B468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D0E394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6DB790E2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12EF" w14:textId="77777777" w:rsidR="00B90FF4" w:rsidRDefault="00B90F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6D3650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D6B67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AC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F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8A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A0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FCE6C55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1C8EE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6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388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21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A0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0D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AE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8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3541C"/>
    <w:rsid w:val="00044007"/>
    <w:rsid w:val="000465FB"/>
    <w:rsid w:val="00064697"/>
    <w:rsid w:val="000C0DAD"/>
    <w:rsid w:val="000C3288"/>
    <w:rsid w:val="000E1BC9"/>
    <w:rsid w:val="0014661D"/>
    <w:rsid w:val="001575DA"/>
    <w:rsid w:val="00161C83"/>
    <w:rsid w:val="001655C3"/>
    <w:rsid w:val="001679E0"/>
    <w:rsid w:val="0018195D"/>
    <w:rsid w:val="00194C16"/>
    <w:rsid w:val="00195D0D"/>
    <w:rsid w:val="001B2134"/>
    <w:rsid w:val="001D32E7"/>
    <w:rsid w:val="001E5D46"/>
    <w:rsid w:val="001F6F3D"/>
    <w:rsid w:val="00216603"/>
    <w:rsid w:val="00225606"/>
    <w:rsid w:val="00271CE7"/>
    <w:rsid w:val="002D213A"/>
    <w:rsid w:val="002F6F3D"/>
    <w:rsid w:val="00331506"/>
    <w:rsid w:val="00343CA8"/>
    <w:rsid w:val="00362DA1"/>
    <w:rsid w:val="00364FE2"/>
    <w:rsid w:val="00386C0D"/>
    <w:rsid w:val="003A1ACB"/>
    <w:rsid w:val="003D3EB2"/>
    <w:rsid w:val="0042667D"/>
    <w:rsid w:val="004718CB"/>
    <w:rsid w:val="0048662E"/>
    <w:rsid w:val="004A40B3"/>
    <w:rsid w:val="004B153E"/>
    <w:rsid w:val="004E0BA6"/>
    <w:rsid w:val="005302EE"/>
    <w:rsid w:val="00540E5A"/>
    <w:rsid w:val="00545E18"/>
    <w:rsid w:val="005D4CC1"/>
    <w:rsid w:val="00607F2A"/>
    <w:rsid w:val="00642B0F"/>
    <w:rsid w:val="00674BA0"/>
    <w:rsid w:val="00693CF0"/>
    <w:rsid w:val="006A3A11"/>
    <w:rsid w:val="006D4ABC"/>
    <w:rsid w:val="007578A8"/>
    <w:rsid w:val="0076167C"/>
    <w:rsid w:val="00762111"/>
    <w:rsid w:val="007633BC"/>
    <w:rsid w:val="00764CCD"/>
    <w:rsid w:val="007A394D"/>
    <w:rsid w:val="00822D96"/>
    <w:rsid w:val="0082338A"/>
    <w:rsid w:val="0082468C"/>
    <w:rsid w:val="0087026E"/>
    <w:rsid w:val="00881C37"/>
    <w:rsid w:val="00886C1C"/>
    <w:rsid w:val="00890060"/>
    <w:rsid w:val="008B5205"/>
    <w:rsid w:val="008E78F2"/>
    <w:rsid w:val="008F0D83"/>
    <w:rsid w:val="008F7549"/>
    <w:rsid w:val="0090200B"/>
    <w:rsid w:val="00904C7E"/>
    <w:rsid w:val="009340F7"/>
    <w:rsid w:val="009367FB"/>
    <w:rsid w:val="009517A4"/>
    <w:rsid w:val="00953B6B"/>
    <w:rsid w:val="00954A46"/>
    <w:rsid w:val="0095536E"/>
    <w:rsid w:val="00957811"/>
    <w:rsid w:val="009810C1"/>
    <w:rsid w:val="009868E3"/>
    <w:rsid w:val="00997F7D"/>
    <w:rsid w:val="009A59EC"/>
    <w:rsid w:val="00A20A20"/>
    <w:rsid w:val="00A5395B"/>
    <w:rsid w:val="00A57B98"/>
    <w:rsid w:val="00A76589"/>
    <w:rsid w:val="00AB48A8"/>
    <w:rsid w:val="00AC6D34"/>
    <w:rsid w:val="00AE7074"/>
    <w:rsid w:val="00AF41B7"/>
    <w:rsid w:val="00AF486E"/>
    <w:rsid w:val="00AF5358"/>
    <w:rsid w:val="00B13F84"/>
    <w:rsid w:val="00B30D35"/>
    <w:rsid w:val="00B37589"/>
    <w:rsid w:val="00B519A3"/>
    <w:rsid w:val="00B90FF4"/>
    <w:rsid w:val="00B934C7"/>
    <w:rsid w:val="00BA5AC5"/>
    <w:rsid w:val="00BD60B5"/>
    <w:rsid w:val="00BE78FD"/>
    <w:rsid w:val="00C12F65"/>
    <w:rsid w:val="00C62BE1"/>
    <w:rsid w:val="00C7004F"/>
    <w:rsid w:val="00C73E72"/>
    <w:rsid w:val="00C97058"/>
    <w:rsid w:val="00CA31D8"/>
    <w:rsid w:val="00CB4CC4"/>
    <w:rsid w:val="00CC7AC5"/>
    <w:rsid w:val="00CE67AC"/>
    <w:rsid w:val="00CF7A0A"/>
    <w:rsid w:val="00D02857"/>
    <w:rsid w:val="00D03940"/>
    <w:rsid w:val="00D21B43"/>
    <w:rsid w:val="00D241CD"/>
    <w:rsid w:val="00D50B6C"/>
    <w:rsid w:val="00D53AB9"/>
    <w:rsid w:val="00D63F6A"/>
    <w:rsid w:val="00D71A22"/>
    <w:rsid w:val="00D9417C"/>
    <w:rsid w:val="00DA2268"/>
    <w:rsid w:val="00E00168"/>
    <w:rsid w:val="00E42E8F"/>
    <w:rsid w:val="00E432D8"/>
    <w:rsid w:val="00E50AB0"/>
    <w:rsid w:val="00E55ABA"/>
    <w:rsid w:val="00E8033E"/>
    <w:rsid w:val="00E816F6"/>
    <w:rsid w:val="00E85912"/>
    <w:rsid w:val="00EB67AA"/>
    <w:rsid w:val="00ED52E6"/>
    <w:rsid w:val="00EE31AF"/>
    <w:rsid w:val="00EE5E79"/>
    <w:rsid w:val="00F00BFA"/>
    <w:rsid w:val="00F146FD"/>
    <w:rsid w:val="00F32022"/>
    <w:rsid w:val="00F32C69"/>
    <w:rsid w:val="00F442A1"/>
    <w:rsid w:val="00F6035C"/>
    <w:rsid w:val="00F60CF7"/>
    <w:rsid w:val="00FC681C"/>
    <w:rsid w:val="58068F7F"/>
    <w:rsid w:val="61F0F0B4"/>
    <w:rsid w:val="6D75360A"/>
    <w:rsid w:val="6E0EAFA7"/>
    <w:rsid w:val="6FB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0935B"/>
  <w15:chartTrackingRefBased/>
  <w15:docId w15:val="{4F556B8C-C57B-C443-A3EC-98D56DC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67D"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3D3EB2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3D3EB2"/>
    <w:pPr>
      <w:numPr>
        <w:numId w:val="23"/>
      </w:numPr>
      <w:spacing w:line="260" w:lineRule="exact"/>
    </w:pPr>
    <w:rPr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3D3EB2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3D3EB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3D3EB2"/>
    <w:pPr>
      <w:numPr>
        <w:numId w:val="0"/>
      </w:numPr>
      <w:spacing w:before="120" w:after="60"/>
    </w:pPr>
    <w:rPr>
      <w:b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E432D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B29F-41D0-4968-B217-94B729E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Pilz2</cp:lastModifiedBy>
  <cp:revision>11</cp:revision>
  <cp:lastPrinted>2015-09-04T07:50:00Z</cp:lastPrinted>
  <dcterms:created xsi:type="dcterms:W3CDTF">2022-05-19T07:38:00Z</dcterms:created>
  <dcterms:modified xsi:type="dcterms:W3CDTF">2023-01-04T12:41:00Z</dcterms:modified>
</cp:coreProperties>
</file>